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Liberation Serif" w:hAnsi="Liberation Serif" w:eastAsia="Noto Sans CJK SC" w:cs="Lohit Devanagari"/>
          <w:b w:val="false"/>
          <w:b w:val="false"/>
          <w:bCs w:val="false"/>
          <w:sz w:val="40"/>
          <w:szCs w:val="40"/>
        </w:rPr>
      </w:pPr>
      <w:r>
        <w:rPr>
          <w:rFonts w:eastAsia="Noto Sans CJK SC" w:cs="Lohit Devanagari" w:ascii="Liberation Serif" w:hAnsi="Liberation Serif"/>
          <w:b w:val="false"/>
          <w:bCs w:val="false"/>
          <w:sz w:val="40"/>
          <w:szCs w:val="40"/>
        </w:rPr>
        <w:t>DocOps на Flow 2022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p>
      <w:pPr>
        <w:pStyle w:val="PreambleBeforeParagraph"/>
        <w:bidi w:val="0"/>
        <w:spacing w:lineRule="exact" w:line="28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lockImage"/>
        <w:keepNext w:val="true"/>
        <w:bidi w:val="0"/>
        <w:spacing w:before="0" w:after="227"/>
        <w:jc w:val="start"/>
        <w:rPr/>
      </w:pPr>
      <w:r>
        <w:rPr/>
        <w:drawing>
          <wp:inline distT="0" distB="0" distL="0" distR="0">
            <wp:extent cx="6120130" cy="3753485"/>
            <wp:effectExtent l="0" t="0" r="0" b="0"/>
            <wp:docPr id="1" name="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29-30 ноября прошла конференция для аналитиков </w:t>
      </w:r>
      <w:hyperlink r:id="rId3">
        <w:r>
          <w:rPr>
            <w:rStyle w:val="InternetLink"/>
          </w:rPr>
          <w:t>FlowConf 2022</w:t>
        </w:r>
      </w:hyperlink>
      <w:r>
        <w:rPr/>
        <w:t>. Основная особенность конференции — ее ориентация на конкретные практические рецепты. Одним из направлений, которое содержит много таких рецептов, стал Docs As Code или, в более широком смысле, DocOps в работе аналитика. В посте представляю обзор этого направления.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конференции проходила в открытом режиме (community days). Для докладов, попавших в эту часть, приведены прямые ссылки на видеозапись. Для остальных докладов указана ссылка на описание, где можно скачать презентацию.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Сергей Гришанов и Евгений Зингер </w:t>
      </w:r>
      <w:hyperlink r:id="rId4">
        <w:r>
          <w:rPr>
            <w:rStyle w:val="InternetLink"/>
          </w:rPr>
          <w:t>рассказали</w:t>
        </w:r>
      </w:hyperlink>
      <w:r>
        <w:rPr/>
        <w:t xml:space="preserve"> о том, как в Тинькофф пришли к практике хранения документации в одном репозитории с кодом (Docs as Code). Спикеры работают по разным направлениям. У каждого из этих направлений разные задачи и организация процессов. Тем не менее результат получился одинаковый: в обеих командах значительно улучшилось взаимодействие аналитиков и разработчиков, а документация теперь полностью соответствует текущему состоянию информационного продукта.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5">
        <w:r>
          <w:rPr>
            <w:rStyle w:val="InternetLink"/>
          </w:rPr>
          <w:t>https://www.youtube.com/watch?v=vW6haSf6kug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Роман Цирульников </w:t>
      </w:r>
      <w:hyperlink r:id="rId6">
        <w:r>
          <w:rPr>
            <w:rStyle w:val="InternetLink"/>
          </w:rPr>
          <w:t>показал</w:t>
        </w:r>
      </w:hyperlink>
      <w:r>
        <w:rPr/>
        <w:t>, как в ЮMoney используется Docs as Code для организации репозитория архитектуры, где этот подход также показал свою эффективность.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Никита Харичкин </w:t>
      </w:r>
      <w:hyperlink r:id="rId7">
        <w:r>
          <w:rPr>
            <w:rStyle w:val="InternetLink"/>
          </w:rPr>
          <w:t>провел</w:t>
        </w:r>
      </w:hyperlink>
      <w:r>
        <w:rPr/>
        <w:t xml:space="preserve"> мастер-класс по использованию диаграмм последовательности (sequence diagram) в PlantUML. Никита давно рассказывает об этой теме, каждый раз находя всё больше и больше возможностей в данном инструменте для решения ежедневных практических задач.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Ссылка на видео: </w:t>
      </w:r>
      <w:hyperlink r:id="rId8">
        <w:r>
          <w:rPr>
            <w:rStyle w:val="InternetLink"/>
          </w:rPr>
          <w:t>https://www.youtube.com/watch?v=ScbZL5RX84E</w:t>
        </w:r>
      </w:hyperlink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В рамках конференции также был проведен круглый стол, в котором собрались технические писатели и аналитики — Константин Валеев, Николай Волынкин, Лана Новикова, Николай Поташников, Семен Факторович, — с целью в принципе ответить на вопрос, как DocOps может помочь в работе аналитика.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 показан пример, показывающий, что вне зависимости от того, как организована работа с документацией в методологии DocOps, на выходе мы можем получить документы в любом формате в соответствии с требованиями заказчика (html, pdf, docx, …​). Т.е. работая в методологии DocOps мы концентрируемся не на выходных форматах, а на содержании процесса документирования.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Также была рассмотрена ключевая для аналитика проблема — управление требованиями. В дискуссии приняли участие более 80 человек. Были обозначены следующие задачи управления требованиями, традиционно вызывающие проблемы: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управление атомарными требования и поддержка актуальности;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трассируемость вплоть до кода;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ведение модели;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срезы (представления);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связь между текстом и диаграммами;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совместная работа;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публичное представление;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разные выходные форматы документов, формируемые, в том числе, не только из требований;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контроль качества;</w:t>
      </w:r>
    </w:p>
    <w:p>
      <w:pPr>
        <w:pStyle w:val="List"/>
        <w:numPr>
          <w:ilvl w:val="0"/>
          <w:numId w:val="2"/>
        </w:numPr>
        <w:bidi w:val="0"/>
        <w:rPr/>
      </w:pPr>
      <w:r>
        <w:rPr/>
        <w:t>требования должны продолжать жить как документация.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Часть этих проблем DocOps решает понятным образом, например, возможное решение проблемы поддержки актуальности требований и их трассируемости рассмотрено в уже упомянутом докладе Сергея Гришанова и Евгения Зингера. Чаще готовых рецептов нет или они не очевидны.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Были определены технологии, которые потенциально могут обеспечить решение всех указанных проблем.</w:t>
      </w:r>
    </w:p>
    <w:p>
      <w:pPr>
        <w:pStyle w:val="List"/>
        <w:numPr>
          <w:ilvl w:val="0"/>
          <w:numId w:val="3"/>
        </w:numPr>
        <w:bidi w:val="0"/>
        <w:rPr/>
      </w:pPr>
      <w:hyperlink r:id="rId9">
        <w:r>
          <w:rPr>
            <w:rStyle w:val="InternetLink"/>
          </w:rPr>
          <w:t>Sphinx-needs</w:t>
        </w:r>
      </w:hyperlink>
      <w:r>
        <w:rPr/>
        <w:t xml:space="preserve"> позволяет ввести в документацию термины, свойственные для управления требованиями, и обвязать их метаданными.</w:t>
      </w:r>
    </w:p>
    <w:p>
      <w:pPr>
        <w:pStyle w:val="List"/>
        <w:numPr>
          <w:ilvl w:val="0"/>
          <w:numId w:val="3"/>
        </w:numPr>
        <w:bidi w:val="0"/>
        <w:rPr/>
      </w:pPr>
      <w:hyperlink r:id="rId10">
        <w:r>
          <w:rPr>
            <w:rStyle w:val="InternetLink"/>
          </w:rPr>
          <w:t>Gherkin</w:t>
        </w:r>
      </w:hyperlink>
      <w:r>
        <w:rPr/>
        <w:t xml:space="preserve"> позволяет формулировать тесты на языке, одновременно понятном и заинтересованным лицам, и интерпретируемым внутри программного продукта.</w:t>
      </w:r>
    </w:p>
    <w:p>
      <w:pPr>
        <w:pStyle w:val="List"/>
        <w:numPr>
          <w:ilvl w:val="0"/>
          <w:numId w:val="3"/>
        </w:numPr>
        <w:bidi w:val="0"/>
        <w:rPr/>
      </w:pPr>
      <w:hyperlink r:id="rId11">
        <w:r>
          <w:rPr>
            <w:rStyle w:val="InternetLink"/>
          </w:rPr>
          <w:t>Jetbrains MPS</w:t>
        </w:r>
      </w:hyperlink>
      <w:r>
        <w:rPr/>
        <w:t xml:space="preserve"> и аналогичные инструменты, которые позволяют писать собственные языки. Пример языка описаний требований с помощью Jetbrains MPS можно найти </w:t>
      </w:r>
      <w:hyperlink r:id="rId12">
        <w:r>
          <w:rPr>
            <w:rStyle w:val="InternetLink"/>
          </w:rPr>
          <w:t>здесь</w:t>
        </w:r>
      </w:hyperlink>
      <w:r>
        <w:rPr/>
        <w:t>.</w:t>
      </w:r>
    </w:p>
    <w:p>
      <w:pPr>
        <w:pStyle w:val="List"/>
        <w:numPr>
          <w:ilvl w:val="0"/>
          <w:numId w:val="3"/>
        </w:numPr>
        <w:bidi w:val="0"/>
        <w:rPr/>
      </w:pPr>
      <w:hyperlink r:id="rId13">
        <w:r>
          <w:rPr>
            <w:rStyle w:val="InternetLink"/>
          </w:rPr>
          <w:t>DocHub</w:t>
        </w:r>
      </w:hyperlink>
      <w:r>
        <w:rPr/>
        <w:t> — инструмент «всё в одном» описания архитектуры через код (Architecture as a code).</w:t>
      </w:r>
    </w:p>
    <w:p>
      <w:pPr>
        <w:pStyle w:val="List"/>
        <w:numPr>
          <w:ilvl w:val="0"/>
          <w:numId w:val="3"/>
        </w:numPr>
        <w:bidi w:val="0"/>
        <w:rPr/>
      </w:pPr>
      <w:r>
        <w:rPr/>
        <w:t>Языки, которые содержат удобные средства для создания внутренних DSL (Kotlin DSL, Haskell, F#, Groovy, Ruby, …​).</w:t>
      </w:r>
    </w:p>
    <w:p>
      <w:pPr>
        <w:pStyle w:val="List"/>
        <w:numPr>
          <w:ilvl w:val="0"/>
          <w:numId w:val="0"/>
        </w:numPr>
        <w:bidi w:val="0"/>
        <w:ind w:start="567" w:hanging="0"/>
        <w:rPr/>
      </w:pPr>
      <w:r>
        <w:rPr/>
        <w:t xml:space="preserve">В частности, был рассмотрен пример создания языка документации на Kotlin DSL. Данный язык является оберткой </w:t>
      </w:r>
      <w:hyperlink r:id="rId14">
        <w:r>
          <w:rPr>
            <w:rStyle w:val="InternetLink"/>
          </w:rPr>
          <w:t>Writerside</w:t>
        </w:r>
      </w:hyperlink>
      <w:r>
        <w:rPr/>
        <w:t>, но позволяет в документацию вводить элементы обычных языков программирования — циклы, функции и т.д., которые автоматизируют рутинные операции документирования.</w:t>
      </w:r>
    </w:p>
    <w:p>
      <w:pPr>
        <w:pStyle w:val="List"/>
        <w:numPr>
          <w:ilvl w:val="0"/>
          <w:numId w:val="0"/>
        </w:numPr>
        <w:bidi w:val="0"/>
        <w:ind w:start="567" w:hanging="0"/>
        <w:rPr/>
      </w:pPr>
      <w:r>
        <w:rPr/>
        <w:t xml:space="preserve">Этот же подход можно использовать, как и в случае со </w:t>
      </w:r>
      <w:hyperlink r:id="rId15">
        <w:r>
          <w:rPr>
            <w:rStyle w:val="InternetLink"/>
          </w:rPr>
          <w:t>Sphinx-needs</w:t>
        </w:r>
      </w:hyperlink>
      <w:r>
        <w:rPr/>
        <w:t xml:space="preserve"> для введения в язык собственных элементов, например, для управления структурой требований.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>У каждой из указанных технологий есть определенные ограничения. Конечно, хотелось бы иметь универсальные решения или, хотя бы, подходы. Но даже сейчас сам подход DocOps, при котором мы объединяем процессы документирования, разработки и доставки ИТ-продукта в одно целое, позволяет вполне эффективно подбирать технологии для решения конкретной задачи.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bookmarkStart w:id="0" w:name="_выводы"/>
      <w:r>
        <w:rPr/>
        <w:t>Выводы</w:t>
      </w:r>
      <w:bookmarkEnd w:id="0"/>
    </w:p>
    <w:p>
      <w:pPr>
        <w:pStyle w:val="List"/>
        <w:numPr>
          <w:ilvl w:val="0"/>
          <w:numId w:val="4"/>
        </w:numPr>
        <w:bidi w:val="0"/>
        <w:rPr/>
      </w:pPr>
      <w:r>
        <w:rPr/>
        <w:t>Технологии документирования развиваются очень быстро. Еще 10 лет назад все пользовались только MS Word. Сегодня по оценкам участников круглого стола — в лучшем случае 25%.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Начать использовать Docs as Code очень просто — есть очень простые подходы, которые сразу дают результат.</w:t>
      </w:r>
    </w:p>
    <w:p>
      <w:pPr>
        <w:pStyle w:val="List"/>
        <w:numPr>
          <w:ilvl w:val="0"/>
          <w:numId w:val="4"/>
        </w:numPr>
        <w:bidi w:val="0"/>
        <w:rPr/>
      </w:pPr>
      <w:r>
        <w:rPr/>
        <w:t>Возможности DocOps достаточно широки, чтобы эффективно решать практически любые проблемы документирования, стоящие перед аналитиками.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Хочу поблагодарить всех спикеров, экспертов и команду </w:t>
      </w:r>
      <w:hyperlink r:id="rId16">
        <w:r>
          <w:rPr>
            <w:rStyle w:val="InternetLink"/>
          </w:rPr>
          <w:t>JUG Ru Group</w:t>
        </w:r>
      </w:hyperlink>
      <w:r>
        <w:rPr/>
        <w:t xml:space="preserve"> за подготовку и проведение перечисленных мероприятий. Отдельное спасибо Алексею Лобзову за помощь в курировании всего направления DocOps на </w:t>
      </w:r>
      <w:hyperlink r:id="rId17">
        <w:r>
          <w:rPr>
            <w:rStyle w:val="InternetLink"/>
          </w:rPr>
          <w:t>FlowConf 2022</w:t>
        </w:r>
      </w:hyperlink>
      <w:r>
        <w:rPr/>
        <w:t>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  <w:t xml:space="preserve">P.S. По горячим следам попробовал сделать </w:t>
      </w:r>
      <w:hyperlink r:id="rId18">
        <w:r>
          <w:rPr>
            <w:rStyle w:val="InternetLink"/>
          </w:rPr>
          <w:t>обёртку Kotlin DSL для Asciidoc и эту заметку написать в ней</w:t>
        </w:r>
      </w:hyperlink>
      <w:r>
        <w:rPr/>
        <w:t xml:space="preserve">. Конечно, писать </w:t>
      </w:r>
      <w:hyperlink r:id="rId19">
        <w:r>
          <w:rPr>
            <w:rStyle w:val="InternetLink"/>
          </w:rPr>
          <w:t>менее удобно</w:t>
        </w:r>
      </w:hyperlink>
      <w:r>
        <w:rPr/>
        <w:t>, чем в Markdown, reStructuredText или Asciidoc. Однако тестировать текст, автоматизировать рутинные операции, создавать собственные элементы языка можно непосредственно внутри проекта, используя привычные инструменты работы с языком Kotlin. Выгрузка в формате Habr Markdown для публикации тоже получилась очень удобной.</w:t>
      </w:r>
    </w:p>
    <w:p>
      <w:pPr>
        <w:pStyle w:val="TextBody"/>
        <w:bidi w:val="0"/>
        <w:spacing w:lineRule="auto" w:line="276" w:before="0" w:after="113"/>
        <w:ind w:start="0" w:end="0" w:firstLine="567"/>
        <w:jc w:val="both"/>
        <w:rPr/>
      </w:pPr>
      <w:r>
        <w:rPr/>
      </w:r>
    </w:p>
    <w:sectPr>
      <w:footerReference w:type="default" r:id="rId20"/>
      <w:type w:val="nextPage"/>
      <w:pgSz w:w="11906" w:h="16838"/>
      <w:pgMar w:left="1134" w:right="1134" w:gutter="0" w:header="0" w:top="1134" w:footer="1134" w:bottom="187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82" w:type="dxa"/>
      <w:jc w:val="start"/>
      <w:tblInd w:w="0" w:type="dxa"/>
      <w:tblLayout w:type="fixed"/>
      <w:tblCellMar>
        <w:top w:w="28" w:type="dxa"/>
        <w:start w:w="28" w:type="dxa"/>
        <w:bottom w:w="28" w:type="dxa"/>
        <w:end w:w="28" w:type="dxa"/>
      </w:tblCellMar>
    </w:tblPr>
    <w:tblGrid>
      <w:gridCol w:w="9582"/>
    </w:tblGrid>
    <w:tr>
      <w:trPr/>
      <w:tc>
        <w:tcPr>
          <w:tcW w:w="9582" w:type="dxa"/>
          <w:tcBorders>
            <w:top w:val="single" w:sz="2" w:space="0" w:color="000000"/>
          </w:tcBorders>
        </w:tcPr>
        <w:p>
          <w:pPr>
            <w:pStyle w:val="TableContents"/>
            <w:bidi w:val="0"/>
            <w:spacing w:before="57" w:after="57"/>
            <w:jc w:val="center"/>
            <w:rPr/>
          </w:pPr>
          <w:r>
            <w:rPr/>
            <w:t xml:space="preserve"> 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</w:tbl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3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abstractNum w:abstractNumId="4">
    <w:lvl w:ilvl="0">
      <w:start w:val="1"/>
      <w:numFmt w:val="decimal"/>
      <w:suff w:val="space"/>
      <w:lvlText w:val="%1."/>
      <w:lvlJc w:val="end"/>
      <w:pPr>
        <w:tabs>
          <w:tab w:val="num" w:pos="0"/>
        </w:tabs>
        <w:ind w:start="567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113"/>
      <w:outlineLvl w:val="0"/>
    </w:pPr>
    <w:rPr>
      <w:b/>
      <w:bCs/>
      <w:sz w:val="24"/>
      <w:szCs w:val="36"/>
      <w:lang w:val="ru-RU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ndnoteAnchor">
    <w:name w:val="Endnote Anchor"/>
    <w:rPr>
      <w:vertAlign w:val="superscript"/>
    </w:rPr>
  </w:style>
  <w:style w:type="character" w:styleId="LineNumbering">
    <w:name w:val="Line Numbering"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Definition">
    <w:name w:val="Definition"/>
    <w:qFormat/>
    <w:rPr/>
  </w:style>
  <w:style w:type="character" w:styleId="CaptionCharacters">
    <w:name w:val="Caption Characters"/>
    <w:qFormat/>
    <w:rPr/>
  </w:style>
  <w:style w:type="character" w:styleId="DropCaps">
    <w:name w:val="Drop Caps"/>
    <w:qFormat/>
    <w:rPr/>
  </w:style>
  <w:style w:type="character" w:styleId="Example">
    <w:name w:val="Example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Mark">
    <w:name w:val="Mark"/>
    <w:qFormat/>
    <w:rPr>
      <w:shd w:fill="FFFF00" w:val="clear"/>
    </w:rPr>
  </w:style>
  <w:style w:type="character" w:styleId="Small">
    <w:name w:val="Small"/>
    <w:qFormat/>
    <w:rPr>
      <w:sz w:val="20"/>
    </w:rPr>
  </w:style>
  <w:style w:type="character" w:styleId="TableSmall">
    <w:name w:val="Table Small"/>
    <w:qFormat/>
    <w:rPr>
      <w:sz w:val="16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Callout">
    <w:name w:val="Callout"/>
    <w:qFormat/>
    <w:rPr>
      <w:color w:val="000000"/>
      <w:bdr w:val="single" w:sz="4" w:space="1" w:color="000000"/>
    </w:rPr>
  </w:style>
  <w:style w:type="character" w:styleId="CalloutListCalloutNumber">
    <w:name w:val="Callout List Callout Number"/>
    <w:basedOn w:val="Callout"/>
    <w:qFormat/>
    <w:rPr>
      <w:bdr w:val="single" w:sz="4" w:space="0" w:color="000000"/>
    </w:rPr>
  </w:style>
  <w:style w:type="character" w:styleId="Variable">
    <w:name w:val="Variable"/>
    <w:qFormat/>
    <w:rPr>
      <w:i/>
      <w:iCs/>
    </w:rPr>
  </w:style>
  <w:style w:type="character" w:styleId="Big">
    <w:name w:val="Big"/>
    <w:qFormat/>
    <w:rPr>
      <w:sz w:val="26"/>
    </w:rPr>
  </w:style>
  <w:style w:type="character" w:styleId="TableBig">
    <w:name w:val="Table Big"/>
    <w:qFormat/>
    <w:rPr>
      <w:sz w:val="22"/>
    </w:rPr>
  </w:style>
  <w:style w:type="character" w:styleId="Underline">
    <w:name w:val="Underline"/>
    <w:qFormat/>
    <w:rPr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13"/>
      <w:ind w:start="0" w:end="0" w:firstLine="567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IndexHeading">
    <w:name w:val="Index Heading"/>
    <w:basedOn w:val="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start="0" w:end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start="0" w:end="0" w:hanging="0"/>
    </w:pPr>
    <w:rPr/>
  </w:style>
  <w:style w:type="paragraph" w:styleId="List1">
    <w:name w:val="List 2"/>
    <w:basedOn w:val="List"/>
    <w:pPr>
      <w:spacing w:before="0" w:after="120"/>
      <w:ind w:start="360" w:end="0" w:hanging="360"/>
    </w:pPr>
    <w:rPr/>
  </w:style>
  <w:style w:type="paragraph" w:styleId="TableContents">
    <w:name w:val="Table Contents"/>
    <w:basedOn w:val="Normal"/>
    <w:qFormat/>
    <w:pPr>
      <w:keepLines/>
      <w:widowControl w:val="false"/>
      <w:suppressLineNumbers/>
      <w:spacing w:before="57" w:after="57"/>
    </w:pPr>
    <w:rPr>
      <w:rFonts w:ascii="Liberation Sans" w:hAnsi="Liberation Sans"/>
      <w:sz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sz w:val="18"/>
    </w:rPr>
  </w:style>
  <w:style w:type="paragraph" w:styleId="Table">
    <w:name w:val="Table"/>
    <w:basedOn w:val="Caption"/>
    <w:qFormat/>
    <w:pPr>
      <w:keepNext w:val="true"/>
      <w:spacing w:before="0" w:after="57"/>
    </w:pPr>
    <w:rPr/>
  </w:style>
  <w:style w:type="paragraph" w:styleId="ListCaption">
    <w:name w:val="List Caption"/>
    <w:basedOn w:val="Caption"/>
    <w:qFormat/>
    <w:pPr>
      <w:keepNext w:val="true"/>
      <w:spacing w:before="0" w:after="57"/>
    </w:pPr>
    <w:rPr/>
  </w:style>
  <w:style w:type="paragraph" w:styleId="TableList">
    <w:name w:val="Table List"/>
    <w:basedOn w:val="TableContents"/>
    <w:qFormat/>
    <w:pPr/>
    <w:rPr/>
  </w:style>
  <w:style w:type="paragraph" w:styleId="BlockImage">
    <w:name w:val="Block Image"/>
    <w:basedOn w:val="Normal"/>
    <w:qFormat/>
    <w:pPr>
      <w:keepNext w:val="true"/>
      <w:spacing w:before="0" w:after="227"/>
    </w:pPr>
    <w:rPr/>
  </w:style>
  <w:style w:type="paragraph" w:styleId="Figure">
    <w:name w:val="Figure"/>
    <w:basedOn w:val="Caption"/>
    <w:qFormat/>
    <w:pPr>
      <w:spacing w:before="0" w:after="142"/>
    </w:pPr>
    <w:rPr/>
  </w:style>
  <w:style w:type="paragraph" w:styleId="Appendix">
    <w:name w:val="Closing"/>
    <w:basedOn w:val="Heading"/>
    <w:next w:val="TextBody"/>
    <w:pPr>
      <w:jc w:val="center"/>
    </w:pPr>
    <w:rPr>
      <w:b/>
      <w:bCs/>
      <w:sz w:val="32"/>
      <w:szCs w:val="32"/>
    </w:rPr>
  </w:style>
  <w:style w:type="paragraph" w:styleId="Footnote">
    <w:name w:val="Footnote Text"/>
    <w:basedOn w:val="Normal"/>
    <w:pPr>
      <w:suppressLineNumbers/>
      <w:tabs>
        <w:tab w:val="clear" w:pos="709"/>
      </w:tabs>
      <w:ind w:start="170" w:end="0" w:hanging="170"/>
    </w:pPr>
    <w:rPr>
      <w:sz w:val="20"/>
      <w:szCs w:val="20"/>
    </w:rPr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start="283" w:end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start="566" w:end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start="849" w:end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start="1132" w:end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start="1415" w:end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start="1698" w:end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start="1981" w:end="0" w:hanging="0"/>
    </w:pPr>
    <w:rPr/>
  </w:style>
  <w:style w:type="paragraph" w:styleId="Heading1Discrete">
    <w:name w:val="Heading 1 Discrete"/>
    <w:basedOn w:val="Heading1"/>
    <w:qFormat/>
    <w:pPr>
      <w:numPr>
        <w:ilvl w:val="0"/>
        <w:numId w:val="0"/>
      </w:numPr>
      <w:outlineLvl w:val="9"/>
    </w:pPr>
    <w:rPr/>
  </w:style>
  <w:style w:type="paragraph" w:styleId="Heading2Discrete">
    <w:name w:val="Heading 2 Discrete"/>
    <w:basedOn w:val="Heading2"/>
    <w:qFormat/>
    <w:pPr>
      <w:numPr>
        <w:ilvl w:val="0"/>
        <w:numId w:val="0"/>
      </w:numPr>
      <w:outlineLvl w:val="9"/>
    </w:pPr>
    <w:rPr/>
  </w:style>
  <w:style w:type="paragraph" w:styleId="Heading3Discrete">
    <w:name w:val="Heading 3 Discrete"/>
    <w:basedOn w:val="Heading3"/>
    <w:qFormat/>
    <w:pPr>
      <w:numPr>
        <w:ilvl w:val="0"/>
        <w:numId w:val="0"/>
      </w:numPr>
      <w:outlineLvl w:val="9"/>
    </w:pPr>
    <w:rPr/>
  </w:style>
  <w:style w:type="paragraph" w:styleId="Heading4Discrete">
    <w:name w:val="Heading 4 Discrete"/>
    <w:basedOn w:val="Heading4"/>
    <w:qFormat/>
    <w:pPr>
      <w:numPr>
        <w:ilvl w:val="0"/>
        <w:numId w:val="0"/>
      </w:numPr>
      <w:outlineLvl w:val="9"/>
    </w:pPr>
    <w:rPr/>
  </w:style>
  <w:style w:type="paragraph" w:styleId="Heading5Discrete">
    <w:name w:val="Heading 5 Discrete"/>
    <w:basedOn w:val="Heading5"/>
    <w:qFormat/>
    <w:pPr>
      <w:numPr>
        <w:ilvl w:val="0"/>
        <w:numId w:val="0"/>
      </w:numPr>
      <w:outlineLvl w:val="9"/>
    </w:pPr>
    <w:rPr/>
  </w:style>
  <w:style w:type="paragraph" w:styleId="Heading6Discrete">
    <w:name w:val="Heading 6 Discrete"/>
    <w:basedOn w:val="Heading6"/>
    <w:qFormat/>
    <w:pPr>
      <w:numPr>
        <w:ilvl w:val="0"/>
        <w:numId w:val="0"/>
      </w:numPr>
      <w:outlineLvl w:val="9"/>
    </w:pPr>
    <w:rPr/>
  </w:style>
  <w:style w:type="paragraph" w:styleId="Heading7Discrete">
    <w:name w:val="Heading 7 Discrete"/>
    <w:basedOn w:val="Heading7"/>
    <w:qFormat/>
    <w:pPr>
      <w:numPr>
        <w:ilvl w:val="0"/>
        <w:numId w:val="0"/>
      </w:numPr>
      <w:outlineLvl w:val="9"/>
    </w:pPr>
    <w:rPr/>
  </w:style>
  <w:style w:type="paragraph" w:styleId="Heading8Discrete">
    <w:name w:val="Heading 8 Discrete"/>
    <w:basedOn w:val="Heading8"/>
    <w:qFormat/>
    <w:pPr>
      <w:numPr>
        <w:ilvl w:val="0"/>
        <w:numId w:val="0"/>
      </w:numPr>
      <w:outlineLvl w:val="9"/>
    </w:pPr>
    <w:rPr/>
  </w:style>
  <w:style w:type="paragraph" w:styleId="Graphic">
    <w:name w:val="Graphic"/>
    <w:basedOn w:val="Normal"/>
    <w:qFormat/>
    <w:pPr>
      <w:keepNext w:val="true"/>
    </w:pPr>
    <w:rPr/>
  </w:style>
  <w:style w:type="paragraph" w:styleId="Equation">
    <w:name w:val="Equation"/>
    <w:basedOn w:val="Normal"/>
    <w:qFormat/>
    <w:pPr>
      <w:spacing w:before="0" w:after="142"/>
      <w:jc w:val="center"/>
    </w:pPr>
    <w:rPr/>
  </w:style>
  <w:style w:type="paragraph" w:styleId="FrameContents">
    <w:name w:val="Frame Contents"/>
    <w:basedOn w:val="Normal"/>
    <w:qFormat/>
    <w:pPr/>
    <w:rPr/>
  </w:style>
  <w:style w:type="paragraph" w:styleId="ContentFrameParagraph">
    <w:name w:val="Content Frame Paragraph"/>
    <w:basedOn w:val="Normal"/>
    <w:qFormat/>
    <w:pPr>
      <w:spacing w:lineRule="exact" w:line="198"/>
    </w:pPr>
    <w:rPr/>
  </w:style>
  <w:style w:type="paragraph" w:styleId="AdmonitionHeading">
    <w:name w:val="Admonition Heading"/>
    <w:basedOn w:val="Normal"/>
    <w:qFormat/>
    <w:pPr>
      <w:pBdr>
        <w:bottom w:val="single" w:sz="2" w:space="4" w:color="000000"/>
      </w:pBdr>
      <w:spacing w:before="0" w:after="142"/>
    </w:pPr>
    <w:rPr>
      <w:rFonts w:ascii="Liberation Sans" w:hAnsi="Liberation Sans"/>
      <w:b/>
      <w:caps/>
      <w:sz w:val="20"/>
    </w:rPr>
  </w:style>
  <w:style w:type="paragraph" w:styleId="AdmonitionCaption">
    <w:name w:val="Admonition Caption"/>
    <w:basedOn w:val="Caption"/>
    <w:qFormat/>
    <w:pPr>
      <w:keepNext w:val="true"/>
      <w:spacing w:before="0" w:after="142"/>
    </w:pPr>
    <w:rPr/>
  </w:style>
  <w:style w:type="paragraph" w:styleId="TableAdmonitionHeading">
    <w:name w:val="Table Admonition Heading"/>
    <w:basedOn w:val="TableContents"/>
    <w:qFormat/>
    <w:pPr>
      <w:pBdr>
        <w:bottom w:val="single" w:sz="4" w:space="4" w:color="000000"/>
      </w:pBdr>
    </w:pPr>
    <w:rPr>
      <w:b/>
      <w:i w:val="false"/>
      <w:caps/>
      <w:sz w:val="18"/>
    </w:rPr>
  </w:style>
  <w:style w:type="paragraph" w:styleId="TableAdmonitionCaption">
    <w:name w:val="Table Admonition Caption"/>
    <w:basedOn w:val="TableContents"/>
    <w:qFormat/>
    <w:pPr/>
    <w:rPr>
      <w:i/>
    </w:rPr>
  </w:style>
  <w:style w:type="paragraph" w:styleId="TableContentFrameParagraph">
    <w:name w:val="Table Content Frame Paragraph"/>
    <w:basedOn w:val="TableContents"/>
    <w:qFormat/>
    <w:pPr>
      <w:spacing w:lineRule="exact" w:line="57" w:before="0" w:after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end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TableExampleCaption">
    <w:name w:val="Table Example Caption"/>
    <w:basedOn w:val="TableContents"/>
    <w:qFormat/>
    <w:pPr>
      <w:keepNext w:val="true"/>
    </w:pPr>
    <w:rPr>
      <w:i/>
    </w:rPr>
  </w:style>
  <w:style w:type="paragraph" w:styleId="ExampleCaption">
    <w:name w:val="Example Caption"/>
    <w:basedOn w:val="Caption"/>
    <w:qFormat/>
    <w:pPr>
      <w:spacing w:before="0" w:after="57"/>
    </w:pPr>
    <w:rPr/>
  </w:style>
  <w:style w:type="paragraph" w:styleId="TableListCaption">
    <w:name w:val="Table List Caption"/>
    <w:basedOn w:val="TableContents"/>
    <w:qFormat/>
    <w:pPr>
      <w:keepNext w:val="true"/>
      <w:keepLines/>
    </w:pPr>
    <w:rPr>
      <w:i/>
    </w:rPr>
  </w:style>
  <w:style w:type="paragraph" w:styleId="TableListingCaption">
    <w:name w:val="Table Listing Caption"/>
    <w:basedOn w:val="TableContents"/>
    <w:qFormat/>
    <w:pPr/>
    <w:rPr>
      <w:i/>
    </w:rPr>
  </w:style>
  <w:style w:type="paragraph" w:styleId="ListingCaption">
    <w:name w:val="Listing Caption"/>
    <w:basedOn w:val="Caption"/>
    <w:qFormat/>
    <w:pPr>
      <w:spacing w:before="0" w:after="57"/>
    </w:pPr>
    <w:rPr/>
  </w:style>
  <w:style w:type="paragraph" w:styleId="Listing">
    <w:name w:val="Listing"/>
    <w:basedOn w:val="Normal"/>
    <w:qFormat/>
    <w:pPr>
      <w:pBdr/>
      <w:spacing w:before="0" w:after="142"/>
    </w:pPr>
    <w:rPr>
      <w:rFonts w:ascii="Liberation Mono" w:hAnsi="Liberation Mono"/>
      <w:sz w:val="20"/>
      <w:lang w:val="zxx"/>
    </w:rPr>
  </w:style>
  <w:style w:type="paragraph" w:styleId="TableListing">
    <w:name w:val="Table Listing"/>
    <w:basedOn w:val="TableContents"/>
    <w:qFormat/>
    <w:pPr>
      <w:pBdr/>
    </w:pPr>
    <w:rPr>
      <w:rFonts w:ascii="Liberation Mono" w:hAnsi="Liberation Mono"/>
      <w:sz w:val="18"/>
      <w:lang w:val="zxx"/>
    </w:rPr>
  </w:style>
  <w:style w:type="paragraph" w:styleId="CalloutList">
    <w:name w:val="Callout List"/>
    <w:basedOn w:val="TextBody"/>
    <w:qFormat/>
    <w:pPr/>
    <w:rPr/>
  </w:style>
  <w:style w:type="paragraph" w:styleId="TableCalloutList">
    <w:name w:val="Table Callout List"/>
    <w:basedOn w:val="TableContents"/>
    <w:qFormat/>
    <w:pPr/>
    <w:rPr/>
  </w:style>
  <w:style w:type="paragraph" w:styleId="UserIndexHeading">
    <w:name w:val="User Index Heading"/>
    <w:basedOn w:val="IndexHeading"/>
    <w:qFormat/>
    <w:pPr>
      <w:suppressLineNumbers/>
      <w:ind w:start="0" w:end="0" w:hanging="0"/>
    </w:pPr>
    <w:rPr>
      <w:b/>
      <w:bCs/>
      <w:sz w:val="32"/>
      <w:szCs w:val="32"/>
    </w:rPr>
  </w:style>
  <w:style w:type="paragraph" w:styleId="TOC">
    <w:name w:val="TOC"/>
    <w:basedOn w:val="Normal"/>
    <w:qFormat/>
    <w:pPr>
      <w:tabs>
        <w:tab w:val="clear" w:pos="709"/>
        <w:tab w:val="left" w:pos="8787" w:leader="dot"/>
      </w:tabs>
      <w:jc w:val="start"/>
    </w:pPr>
    <w:rPr/>
  </w:style>
  <w:style w:type="paragraph" w:styleId="TOCLevel1">
    <w:name w:val="TOC Level 1"/>
    <w:basedOn w:val="TOC"/>
    <w:qFormat/>
    <w:pPr/>
    <w:rPr/>
  </w:style>
  <w:style w:type="paragraph" w:styleId="TOCLevel2">
    <w:name w:val="TOC Level 2"/>
    <w:basedOn w:val="TOC"/>
    <w:qFormat/>
    <w:pPr>
      <w:tabs>
        <w:tab w:val="clear" w:pos="8787"/>
        <w:tab w:val="right" w:pos="8787" w:leader="dot"/>
      </w:tabs>
      <w:ind w:start="283" w:end="0" w:hanging="0"/>
    </w:pPr>
    <w:rPr/>
  </w:style>
  <w:style w:type="paragraph" w:styleId="TOCLevel3">
    <w:name w:val="TOC Level 3"/>
    <w:basedOn w:val="TOC"/>
    <w:qFormat/>
    <w:pPr>
      <w:tabs>
        <w:tab w:val="clear" w:pos="8787"/>
        <w:tab w:val="right" w:pos="8787" w:leader="dot"/>
      </w:tabs>
      <w:ind w:start="567" w:end="0" w:hanging="0"/>
    </w:pPr>
    <w:rPr/>
  </w:style>
  <w:style w:type="paragraph" w:styleId="TOCLevel4">
    <w:name w:val="TOC Level 4"/>
    <w:basedOn w:val="TOC"/>
    <w:qFormat/>
    <w:pPr>
      <w:tabs>
        <w:tab w:val="clear" w:pos="8787"/>
        <w:tab w:val="right" w:pos="8787" w:leader="dot"/>
      </w:tabs>
      <w:ind w:start="850" w:end="0" w:hanging="0"/>
    </w:pPr>
    <w:rPr/>
  </w:style>
  <w:style w:type="paragraph" w:styleId="TOCLevel5">
    <w:name w:val="TOC Level 5"/>
    <w:basedOn w:val="TOC"/>
    <w:qFormat/>
    <w:pPr>
      <w:tabs>
        <w:tab w:val="clear" w:pos="8787"/>
        <w:tab w:val="right" w:pos="8788" w:leader="dot"/>
      </w:tabs>
      <w:ind w:start="1134" w:end="0" w:hanging="0"/>
    </w:pPr>
    <w:rPr/>
  </w:style>
  <w:style w:type="paragraph" w:styleId="TOCPageNumber">
    <w:name w:val="TOC Page Number"/>
    <w:basedOn w:val="TOCLevel1"/>
    <w:qFormat/>
    <w:pPr>
      <w:tabs>
        <w:tab w:val="clear" w:pos="8787"/>
        <w:tab w:val="right" w:pos="850" w:leader="dot"/>
      </w:tabs>
      <w:jc w:val="end"/>
    </w:pPr>
    <w:rPr/>
  </w:style>
  <w:style w:type="paragraph" w:styleId="PreambleBeforeParagraph">
    <w:name w:val="Preamble Before Paragraph"/>
    <w:basedOn w:val="Normal"/>
    <w:qFormat/>
    <w:pPr>
      <w:spacing w:lineRule="exact" w:line="28"/>
    </w:pPr>
    <w:rPr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abc1">
    <w:name w:val="Numbering abc"/>
    <w:qFormat/>
  </w:style>
  <w:style w:type="numbering" w:styleId="NumberingIVX">
    <w:name w:val="Numbering IVX"/>
    <w:qFormat/>
  </w:style>
  <w:style w:type="numbering" w:styleId="Numberingivx1">
    <w:name w:val="Numbering ivx"/>
    <w:qFormat/>
  </w:style>
  <w:style w:type="numbering" w:styleId="Bullet">
    <w:name w:val="Bullet •"/>
    <w:qFormat/>
  </w:style>
  <w:style w:type="numbering" w:styleId="Bullet1">
    <w:name w:val="Bullet –"/>
    <w:qFormat/>
  </w:style>
  <w:style w:type="numbering" w:styleId="Numberinglg">
    <w:name w:val="Numbering lg"/>
    <w:qFormat/>
  </w:style>
  <w:style w:type="numbering" w:styleId="Numberingdec">
    <w:name w:val="Numbering dec"/>
    <w:qFormat/>
  </w:style>
  <w:style w:type="numbering" w:styleId="BulletDisk">
    <w:name w:val="Bullet Disk"/>
    <w:qFormat/>
  </w:style>
  <w:style w:type="numbering" w:styleId="BulletCircle">
    <w:name w:val="Bullet Circle"/>
    <w:qFormat/>
  </w:style>
  <w:style w:type="numbering" w:styleId="BulletSquare">
    <w:name w:val="Bullet Square"/>
    <w:qFormat/>
  </w:style>
  <w:style w:type="numbering" w:styleId="BulletDefault">
    <w:name w:val="Bullet Default"/>
    <w:qFormat/>
  </w:style>
  <w:style w:type="numbering" w:styleId="BulletNone">
    <w:name w:val="Bullet None"/>
    <w:qFormat/>
  </w:style>
  <w:style w:type="numbering" w:styleId="CalloutsNumbering">
    <w:name w:val="Callouts Numbering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flowconf.ru/?utm_source=habr&amp;utm_medium=708338" TargetMode="External"/><Relationship Id="rId4" Type="http://schemas.openxmlformats.org/officeDocument/2006/relationships/hyperlink" Target="https://flowconf.ru/talks/f2bb05feae7b4aa387bcd2930679d60e/?utm_source=habr&amp;utm_medium=708338" TargetMode="External"/><Relationship Id="rId5" Type="http://schemas.openxmlformats.org/officeDocument/2006/relationships/hyperlink" Target="https://www.youtube.com/watch?v=vW6haSf6kug" TargetMode="External"/><Relationship Id="rId6" Type="http://schemas.openxmlformats.org/officeDocument/2006/relationships/hyperlink" Target="https://flowconf.ru/talks/017b5a36d308426a8328d0e96f156c66/?utm_source=habr&amp;utm_medium=708338" TargetMode="External"/><Relationship Id="rId7" Type="http://schemas.openxmlformats.org/officeDocument/2006/relationships/hyperlink" Target="https://flowconf.ru/talks/5e62f08e5f3c470fbf60828f7a6914f7/?utm_source=habr&amp;utm_medium=708338" TargetMode="External"/><Relationship Id="rId8" Type="http://schemas.openxmlformats.org/officeDocument/2006/relationships/hyperlink" Target="https://www.youtube.com/watch?v=ScbZL5RX84E" TargetMode="External"/><Relationship Id="rId9" Type="http://schemas.openxmlformats.org/officeDocument/2006/relationships/hyperlink" Target="https://github.com/useblocks/sphinx-needs" TargetMode="External"/><Relationship Id="rId10" Type="http://schemas.openxmlformats.org/officeDocument/2006/relationships/hyperlink" Target="https://github.com/cucumber" TargetMode="External"/><Relationship Id="rId11" Type="http://schemas.openxmlformats.org/officeDocument/2006/relationships/hyperlink" Target="https://www.jetbrains.com/mps/" TargetMode="External"/><Relationship Id="rId12" Type="http://schemas.openxmlformats.org/officeDocument/2006/relationships/hyperlink" Target="http://mbeddr.com/" TargetMode="External"/><Relationship Id="rId13" Type="http://schemas.openxmlformats.org/officeDocument/2006/relationships/hyperlink" Target="https://dochub.info/" TargetMode="External"/><Relationship Id="rId14" Type="http://schemas.openxmlformats.org/officeDocument/2006/relationships/hyperlink" Target="https://lp.jetbrains.com/writerside/" TargetMode="External"/><Relationship Id="rId15" Type="http://schemas.openxmlformats.org/officeDocument/2006/relationships/hyperlink" Target="https://github.com/useblocks/sphinx-needs" TargetMode="External"/><Relationship Id="rId16" Type="http://schemas.openxmlformats.org/officeDocument/2006/relationships/hyperlink" Target="https://jugru.org/?utm_source=habr&amp;utm_medium=708338" TargetMode="External"/><Relationship Id="rId17" Type="http://schemas.openxmlformats.org/officeDocument/2006/relationships/hyperlink" Target="https://flowconf.ru/?utm_source=habr&amp;utm_medium=708338" TargetMode="External"/><Relationship Id="rId18" Type="http://schemas.openxmlformats.org/officeDocument/2006/relationships/hyperlink" Target="https://github.com/fiddlededee/flow-2022-docops" TargetMode="External"/><Relationship Id="rId19" Type="http://schemas.openxmlformats.org/officeDocument/2006/relationships/hyperlink" Target="https://github.com/fiddlededee/flow-2022-docops/blob/main/src/main/kotlin/Main.kt" TargetMode="Externa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12479</TotalTime>
  <Application>LibreOffice/7.2.7.2$Linux_X86_64 LibreOffice_project/8d03155cd8b504dd05955b7a0d23f830c24a9f30</Application>
  <AppVersion>15.0000</AppVersion>
  <Pages>2</Pages>
  <Words>160</Words>
  <Characters>745</Characters>
  <CharactersWithSpaces>881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2021-03-06T11:53:41Z</dcterms:created>
  <dc:creator/>
  <dc:description/>
  <dc:language>en-US</dc:language>
  <cp:lastModifiedBy/>
  <dcterms:modified xsi:type="dcterms:W3CDTF">2022-12-29T14:02:23Z</dcterms:modified>
  <cp:revision>211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ts &quot;security breach&quot;">
    <vt:lpwstr>security breach</vt:lpwstr>
  </property>
  <property fmtid="{D5CDD505-2E9C-101B-9397-08002B2CF9AE}" pid="3" name="table-margin-bottom">
    <vt:lpwstr>3mm</vt:lpwstr>
  </property>
</Properties>
</file>