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2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этом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3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4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5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6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7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8">
        <w:r>
          <w:rPr>
            <w:rStyle w:val="InternetLink"/>
          </w:rPr>
          <w:t>Shinx-needs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1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2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3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end="0" w:hanging="0"/>
        <w:rPr/>
      </w:pPr>
      <w:r>
        <w:rPr/>
        <w:t xml:space="preserve">Этот же подход можно использовать, как и в случае со </w:t>
      </w:r>
      <w:hyperlink r:id="rId14">
        <w:r>
          <w:rPr>
            <w:rStyle w:val="InternetLink"/>
          </w:rPr>
          <w:t>Shinx-needs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5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6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7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8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19"/>
      <w:type w:val="nextPage"/>
      <w:pgSz w:w="11906" w:h="16838"/>
      <w:pgMar w:left="1134" w:right="1134" w:header="0" w:top="1134" w:footer="1134" w:bottom="187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28" w:type="dxa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highlight w:val="yellow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142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Appendix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lowconf.ru/?utm_source=habr&amp;utm_medium=708338" TargetMode="External"/><Relationship Id="rId3" Type="http://schemas.openxmlformats.org/officeDocument/2006/relationships/hyperlink" Target="https://flowconf.ru/talks/f2bb05feae7b4aa387bcd2930679d60e/?utm_source=habr&amp;utm_medium=708338" TargetMode="External"/><Relationship Id="rId4" Type="http://schemas.openxmlformats.org/officeDocument/2006/relationships/hyperlink" Target="https://www.youtube.com/watch?v=vW6haSf6kug" TargetMode="External"/><Relationship Id="rId5" Type="http://schemas.openxmlformats.org/officeDocument/2006/relationships/hyperlink" Target="https://flowconf.ru/talks/017b5a36d308426a8328d0e96f156c66/?utm_source=habr&amp;utm_medium=708338" TargetMode="External"/><Relationship Id="rId6" Type="http://schemas.openxmlformats.org/officeDocument/2006/relationships/hyperlink" Target="https://flowconf.ru/talks/5e62f08e5f3c470fbf60828f7a6914f7/?utm_source=habr&amp;utm_medium=708338" TargetMode="External"/><Relationship Id="rId7" Type="http://schemas.openxmlformats.org/officeDocument/2006/relationships/hyperlink" Target="https://www.youtube.com/watch?v=ScbZL5RX84E" TargetMode="External"/><Relationship Id="rId8" Type="http://schemas.openxmlformats.org/officeDocument/2006/relationships/hyperlink" Target="https://github.com/useblocks/sphinx-needs" TargetMode="External"/><Relationship Id="rId9" Type="http://schemas.openxmlformats.org/officeDocument/2006/relationships/hyperlink" Target="https://github.com/cucumber" TargetMode="External"/><Relationship Id="rId10" Type="http://schemas.openxmlformats.org/officeDocument/2006/relationships/hyperlink" Target="https://www.jetbrains.com/mps/" TargetMode="External"/><Relationship Id="rId11" Type="http://schemas.openxmlformats.org/officeDocument/2006/relationships/hyperlink" Target="http://mbeddr.com/" TargetMode="External"/><Relationship Id="rId12" Type="http://schemas.openxmlformats.org/officeDocument/2006/relationships/hyperlink" Target="https://dochub.info/" TargetMode="External"/><Relationship Id="rId13" Type="http://schemas.openxmlformats.org/officeDocument/2006/relationships/hyperlink" Target="https://lp.jetbrains.com/writerside/" TargetMode="External"/><Relationship Id="rId14" Type="http://schemas.openxmlformats.org/officeDocument/2006/relationships/hyperlink" Target="https://github.com/useblocks/sphinx-needs" TargetMode="External"/><Relationship Id="rId15" Type="http://schemas.openxmlformats.org/officeDocument/2006/relationships/hyperlink" Target="https://jugru.org/?utm_source=habr&amp;utm_medium=708338" TargetMode="External"/><Relationship Id="rId16" Type="http://schemas.openxmlformats.org/officeDocument/2006/relationships/hyperlink" Target="https://flowconf.ru/?utm_source=habr&amp;utm_medium=708338" TargetMode="External"/><Relationship Id="rId17" Type="http://schemas.openxmlformats.org/officeDocument/2006/relationships/hyperlink" Target="https://github.com/fiddlededee/flow-2022-docops" TargetMode="External"/><Relationship Id="rId18" Type="http://schemas.openxmlformats.org/officeDocument/2006/relationships/hyperlink" Target="https://github.com/fiddlededee/flow-2022-docops/blob/main/src/main/kotlin/Main.kt" TargetMode="Externa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12478</TotalTime>
  <Application>LibreOffice/6.4.6.2$Linux_X86_64 LibreOffice_project/17c4c786810c925eb6e0da4181cd43069b44ed29</Applicat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2022-12-25T21:21:28Z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