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1B2B4B"/>
          <w:sz w:val="72"/>
          <w:szCs w:val="72"/>
        </w:rPr>
        <w:t xml:space="preserve">PAYHORIZON</w:t>
      </w:r>
    </w:p>
    <w:p>
      <w:pPr>
        <w:spacing w:before="0" w:after="60"/>
      </w:pPr>
      <w:r>
        <w:rPr>
          <w:rFonts w:ascii="Arial" w:cs="Arial" w:eastAsia="Arial" w:hAnsi="Arial"/>
          <w:color w:val="0077B6"/>
          <w:sz w:val="32"/>
          <w:szCs w:val="32"/>
        </w:rPr>
        <w:t xml:space="preserve">Brand &amp; Positioning Document</w:t>
      </w:r>
    </w:p>
    <w:p>
      <w:pPr>
        <w:spacing w:before="0" w:after="600"/>
      </w:pPr>
      <w:r>
        <w:rPr>
          <w:rFonts w:ascii="Arial" w:cs="Arial" w:eastAsia="Arial" w:hAnsi="Arial"/>
          <w:i/>
          <w:iCs/>
          <w:color w:val="888888"/>
          <w:sz w:val="20"/>
          <w:szCs w:val="20"/>
        </w:rPr>
        <w:t xml:space="preserve">Version 1.0  |  March 2026  |  Confidential</w:t>
      </w:r>
    </w:p>
    <w:p>
      <w:pPr>
        <w:pBdr>
          <w:bottom w:val="single" w:color="0077B6" w:sz="4" w:space="1"/>
        </w:pBdr>
        <w:spacing w:before="200" w:after="200"/>
      </w:pPr>
    </w:p>
    <w:p>
      <w:pPr>
        <w:spacing w:before="200" w:after="0"/>
      </w:pPr>
    </w:p>
    <w:p>
      <w:pPr>
        <w:pStyle w:val="Heading1"/>
        <w:spacing w:before="400" w:after="160"/>
      </w:pPr>
      <w:r>
        <w:rPr>
          <w:rFonts w:ascii="Arial" w:cs="Arial" w:eastAsia="Arial" w:hAnsi="Arial"/>
          <w:b/>
          <w:bCs/>
          <w:color w:val="1B2B4B"/>
          <w:sz w:val="36"/>
          <w:szCs w:val="36"/>
        </w:rPr>
        <w:t xml:space="preserve">1. Purpose of This Document</w:t>
      </w:r>
    </w:p>
    <w:p>
      <w:pPr>
        <w:spacing w:before="60" w:after="100"/>
      </w:pPr>
      <w:r>
        <w:rPr>
          <w:rFonts w:ascii="Arial" w:cs="Arial" w:eastAsia="Arial" w:hAnsi="Arial"/>
          <w:color w:val="1A1A2E"/>
          <w:sz w:val="22"/>
          <w:szCs w:val="22"/>
        </w:rPr>
        <w:t xml:space="preserve">This document is the single source of truth for how Payhorizon presents itself — to merchants, to the market, and internally. Everything we write, say, or design should be consistent with what is set out here.</w:t>
      </w:r>
    </w:p>
    <w:p>
      <w:pPr>
        <w:spacing w:before="60" w:after="100"/>
      </w:pPr>
      <w:r>
        <w:rPr>
          <w:rFonts w:ascii="Arial" w:cs="Arial" w:eastAsia="Arial" w:hAnsi="Arial"/>
          <w:color w:val="1A1A2E"/>
          <w:sz w:val="22"/>
          <w:szCs w:val="22"/>
        </w:rPr>
        <w:t xml:space="preserve">It is an internal document. It should not be shared with merchants or acquirer partners.</w:t>
      </w:r>
    </w:p>
    <w:p>
      <w:pPr>
        <w:spacing w:before="120" w:after="0"/>
      </w:pPr>
    </w:p>
    <w:p>
      <w:pPr>
        <w:pStyle w:val="Heading1"/>
        <w:spacing w:before="400" w:after="160"/>
      </w:pPr>
      <w:r>
        <w:rPr>
          <w:rFonts w:ascii="Arial" w:cs="Arial" w:eastAsia="Arial" w:hAnsi="Arial"/>
          <w:b/>
          <w:bCs/>
          <w:color w:val="1B2B4B"/>
          <w:sz w:val="36"/>
          <w:szCs w:val="36"/>
        </w:rPr>
        <w:t xml:space="preserve">2. Who We Are</w:t>
      </w:r>
    </w:p>
    <w:p>
      <w:pPr>
        <w:pStyle w:val="Heading2"/>
        <w:spacing w:before="320" w:after="120"/>
      </w:pPr>
      <w:r>
        <w:rPr>
          <w:rFonts w:ascii="Arial" w:cs="Arial" w:eastAsia="Arial" w:hAnsi="Arial"/>
          <w:b/>
          <w:bCs/>
          <w:color w:val="0077B6"/>
          <w:sz w:val="26"/>
          <w:szCs w:val="26"/>
        </w:rPr>
        <w:t xml:space="preserve">The One-Line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before="0" w:after="60"/>
            </w:pPr>
            <w:r>
              <w:rPr>
                <w:rFonts w:ascii="Arial" w:cs="Arial" w:eastAsia="Arial" w:hAnsi="Arial"/>
                <w:b/>
                <w:bCs/>
                <w:color w:val="0077B6"/>
                <w:sz w:val="22"/>
                <w:szCs w:val="22"/>
              </w:rPr>
              <w:t xml:space="preserve">Payhorizon in one sentence:</w:t>
            </w:r>
          </w:p>
          <w:p>
            <w:pPr>
              <w:spacing w:before="0" w:after="0"/>
            </w:pPr>
            <w:r>
              <w:rPr>
                <w:rFonts w:ascii="Arial" w:cs="Arial" w:eastAsia="Arial" w:hAnsi="Arial"/>
                <w:i/>
                <w:iCs/>
                <w:color w:val="1A1A2E"/>
                <w:sz w:val="22"/>
                <w:szCs w:val="22"/>
              </w:rPr>
              <w:t xml:space="preserve">Payhorizon is an independent UK merchant services broker — we find and manage the right payment solution for every business, without being tied to any single provider.</w:t>
            </w:r>
          </w:p>
        </w:tc>
      </w:tr>
    </w:tbl>
    <w:p>
      <w:pPr>
        <w:spacing w:before="120" w:after="0"/>
      </w:pPr>
    </w:p>
    <w:p>
      <w:pPr>
        <w:pStyle w:val="Heading2"/>
        <w:spacing w:before="320" w:after="120"/>
      </w:pPr>
      <w:r>
        <w:rPr>
          <w:rFonts w:ascii="Arial" w:cs="Arial" w:eastAsia="Arial" w:hAnsi="Arial"/>
          <w:b/>
          <w:bCs/>
          <w:color w:val="0077B6"/>
          <w:sz w:val="26"/>
          <w:szCs w:val="26"/>
        </w:rPr>
        <w:t xml:space="preserve">Why We Exist — Our Founding Story</w:t>
      </w:r>
    </w:p>
    <w:p>
      <w:pPr>
        <w:spacing w:before="60" w:after="100"/>
      </w:pPr>
      <w:r>
        <w:rPr>
          <w:rFonts w:ascii="Arial" w:cs="Arial" w:eastAsia="Arial" w:hAnsi="Arial"/>
          <w:color w:val="1A1A2E"/>
          <w:sz w:val="22"/>
          <w:szCs w:val="22"/>
        </w:rPr>
        <w:t xml:space="preserve">Payhorizon was founded by people who have been on the other side of the table.</w:t>
      </w:r>
    </w:p>
    <w:p>
      <w:pPr>
        <w:spacing w:before="60" w:after="100"/>
      </w:pPr>
      <w:r>
        <w:rPr>
          <w:rFonts w:ascii="Arial" w:cs="Arial" w:eastAsia="Arial" w:hAnsi="Arial"/>
          <w:color w:val="1A1A2E"/>
          <w:sz w:val="22"/>
          <w:szCs w:val="22"/>
        </w:rPr>
        <w:t xml:space="preserve">As merchants ourselves, we experienced first-hand what most business owners quietly accept: confusing pricing, acquirers that are impossible to reach, and a market that seems designed to keep you in the dark. We were sold blended rates without understanding what we were actually paying. We waited weeks for terminals. We chased support teams that never called back.</w:t>
      </w:r>
    </w:p>
    <w:p>
      <w:pPr>
        <w:spacing w:before="60" w:after="100"/>
      </w:pPr>
      <w:r>
        <w:rPr>
          <w:rFonts w:ascii="Arial" w:cs="Arial" w:eastAsia="Arial" w:hAnsi="Arial"/>
          <w:color w:val="1A1A2E"/>
          <w:sz w:val="22"/>
          <w:szCs w:val="22"/>
        </w:rPr>
        <w:t xml:space="preserve">We also saw a structural gap in the market. Businesses processing significant card volumes — transport operators, parking companies, government bodies, large venues — were being served by the same one-size-fits-all resellers that handled the corner shop. The complexity and scale of their needs deserved a different approach.</w:t>
      </w:r>
    </w:p>
    <w:p>
      <w:pPr>
        <w:spacing w:before="60" w:after="100"/>
      </w:pPr>
      <w:r>
        <w:rPr>
          <w:rFonts w:ascii="Arial" w:cs="Arial" w:eastAsia="Arial" w:hAnsi="Arial"/>
          <w:color w:val="1A1A2E"/>
          <w:sz w:val="22"/>
          <w:szCs w:val="22"/>
        </w:rPr>
        <w:t xml:space="preserve">So we built Payhorizon: an independent broker that works for the merchant, not the acquirer. A company that brings transparency to pricing, genuine choice in providers, and the kind of service that larger operations actually need.</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before="0" w:after="60"/>
            </w:pPr>
            <w:r>
              <w:rPr>
                <w:rFonts w:ascii="Arial" w:cs="Arial" w:eastAsia="Arial" w:hAnsi="Arial"/>
                <w:b/>
                <w:bCs/>
                <w:color w:val="0077B6"/>
                <w:sz w:val="22"/>
                <w:szCs w:val="22"/>
              </w:rPr>
              <w:t xml:space="preserve">The problem we solve:</w:t>
            </w:r>
          </w:p>
          <w:p>
            <w:pPr>
              <w:spacing w:before="0" w:after="0"/>
            </w:pPr>
            <w:r>
              <w:rPr>
                <w:rFonts w:ascii="Arial" w:cs="Arial" w:eastAsia="Arial" w:hAnsi="Arial"/>
                <w:i/>
                <w:iCs/>
                <w:color w:val="1A1A2E"/>
                <w:sz w:val="22"/>
                <w:szCs w:val="22"/>
              </w:rPr>
              <w:t xml:space="preserve">Most businesses overpay for card payments and underuse the products available to them — because they were never shown the full picture. We fix that.</w:t>
            </w:r>
          </w:p>
        </w:tc>
      </w:tr>
    </w:tbl>
    <w:p>
      <w:pPr>
        <w:spacing w:before="120" w:after="0"/>
      </w:pPr>
    </w:p>
    <w:p>
      <w:pPr>
        <w:pStyle w:val="Heading2"/>
        <w:spacing w:before="320" w:after="120"/>
      </w:pPr>
      <w:r>
        <w:rPr>
          <w:rFonts w:ascii="Arial" w:cs="Arial" w:eastAsia="Arial" w:hAnsi="Arial"/>
          <w:b/>
          <w:bCs/>
          <w:color w:val="0077B6"/>
          <w:sz w:val="26"/>
          <w:szCs w:val="26"/>
        </w:rPr>
        <w:t xml:space="preserve">What We Do</w:t>
      </w:r>
    </w:p>
    <w:p>
      <w:pPr>
        <w:spacing w:before="60" w:after="100"/>
      </w:pPr>
      <w:r>
        <w:rPr>
          <w:rFonts w:ascii="Arial" w:cs="Arial" w:eastAsia="Arial" w:hAnsi="Arial"/>
          <w:color w:val="1A1A2E"/>
          <w:sz w:val="22"/>
          <w:szCs w:val="22"/>
        </w:rPr>
        <w:t xml:space="preserve">We work with a panel of UK acquirers and payment providers, and we match each merchant to the solution that genuinely fits their business. No single provider we are contractually obligated to push. Just the right answer for each client.</w:t>
      </w:r>
    </w:p>
    <w:p>
      <w:pPr>
        <w:spacing w:before="60" w:after="100"/>
      </w:pPr>
      <w:r>
        <w:rPr>
          <w:rFonts w:ascii="Arial" w:cs="Arial" w:eastAsia="Arial" w:hAnsi="Arial"/>
          <w:color w:val="1A1A2E"/>
          <w:sz w:val="22"/>
          <w:szCs w:val="22"/>
        </w:rPr>
        <w:t xml:space="preserve">We serve two distinct markets:</w:t>
      </w:r>
    </w:p>
    <w:p>
      <w:pPr>
        <w:pStyle w:val="ListParagraph"/>
        <w:numPr>
          <w:ilvl w:val="0"/>
          <w:numId w:val="2"/>
        </w:numPr>
        <w:spacing w:before="40" w:after="40"/>
      </w:pPr>
      <w:r>
        <w:rPr>
          <w:rFonts w:ascii="Arial" w:cs="Arial" w:eastAsia="Arial" w:hAnsi="Arial"/>
          <w:color w:val="1A1A2E"/>
          <w:sz w:val="22"/>
          <w:szCs w:val="22"/>
        </w:rPr>
        <w:t xml:space="preserve">SMEs that need simple, reliable card payment solutions — terminals, mobile payments, EPOS, and e-commerce.</w:t>
      </w:r>
    </w:p>
    <w:p>
      <w:pPr>
        <w:pStyle w:val="ListParagraph"/>
        <w:numPr>
          <w:ilvl w:val="0"/>
          <w:numId w:val="2"/>
        </w:numPr>
        <w:spacing w:before="40" w:after="40"/>
      </w:pPr>
      <w:r>
        <w:rPr>
          <w:rFonts w:ascii="Arial" w:cs="Arial" w:eastAsia="Arial" w:hAnsi="Arial"/>
          <w:color w:val="1A1A2E"/>
          <w:sz w:val="22"/>
          <w:szCs w:val="22"/>
        </w:rPr>
        <w:t xml:space="preserve">High-volume operators — transport companies, parking operators, government bodies, utilities, housing associations, and large venues — that need robust, scalable infrastructure and pricing that reflects their volumes.</w:t>
      </w:r>
    </w:p>
    <w:p>
      <w:pPr>
        <w:spacing w:before="120" w:after="0"/>
      </w:pPr>
    </w:p>
    <w:p>
      <w:pPr>
        <w:pStyle w:val="Heading1"/>
        <w:spacing w:before="400" w:after="160"/>
      </w:pPr>
      <w:r>
        <w:rPr>
          <w:rFonts w:ascii="Arial" w:cs="Arial" w:eastAsia="Arial" w:hAnsi="Arial"/>
          <w:b/>
          <w:bCs/>
          <w:color w:val="1B2B4B"/>
          <w:sz w:val="36"/>
          <w:szCs w:val="36"/>
        </w:rPr>
        <w:t xml:space="preserve">3. Market Positioning</w:t>
      </w:r>
    </w:p>
    <w:p>
      <w:pPr>
        <w:pStyle w:val="Heading2"/>
        <w:spacing w:before="320" w:after="120"/>
      </w:pPr>
      <w:r>
        <w:rPr>
          <w:rFonts w:ascii="Arial" w:cs="Arial" w:eastAsia="Arial" w:hAnsi="Arial"/>
          <w:b/>
          <w:bCs/>
          <w:color w:val="0077B6"/>
          <w:sz w:val="26"/>
          <w:szCs w:val="26"/>
        </w:rPr>
        <w:t xml:space="preserve">Where We Sit</w:t>
      </w:r>
    </w:p>
    <w:p>
      <w:pPr>
        <w:spacing w:before="60" w:after="100"/>
      </w:pPr>
      <w:r>
        <w:rPr>
          <w:rFonts w:ascii="Arial" w:cs="Arial" w:eastAsia="Arial" w:hAnsi="Arial"/>
          <w:color w:val="1A1A2E"/>
          <w:sz w:val="22"/>
          <w:szCs w:val="22"/>
        </w:rPr>
        <w:t xml:space="preserve">There are three types of players in UK merchant services: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none" w:color="FFFFFF" w:sz="0"/>
              <w:left w:val="none" w:color="FFFFFF" w:sz="0"/>
              <w:bottom w:val="none" w:color="FFFFFF" w:sz="0"/>
              <w:right w:val="none" w:color="FFFFFF" w:sz="0"/>
            </w:tcBorders>
            <w:shd w:fill="1B2B4B" w:val="clear"/>
            <w:tcMar>
              <w:top w:type="dxa" w:w="100"/>
              <w:left w:type="dxa" w:w="160"/>
              <w:bottom w:type="dxa" w:w="100"/>
              <w:right w:type="dxa" w:w="120"/>
            </w:tcMar>
          </w:tcPr>
          <w:p>
            <w:r>
              <w:rPr>
                <w:rFonts w:ascii="Arial" w:cs="Arial" w:eastAsia="Arial" w:hAnsi="Arial"/>
                <w:b/>
                <w:bCs/>
                <w:color w:val="FFFFFF"/>
                <w:sz w:val="20"/>
                <w:szCs w:val="20"/>
              </w:rPr>
              <w:t xml:space="preserve">Type</w:t>
            </w:r>
          </w:p>
        </w:tc>
        <w:tc>
          <w:tcPr>
            <w:tcW w:type="dxa" w:w="3113"/>
            <w:tcBorders>
              <w:top w:val="none" w:color="FFFFFF" w:sz="0"/>
              <w:left w:val="none" w:color="FFFFFF" w:sz="0"/>
              <w:bottom w:val="none" w:color="FFFFFF" w:sz="0"/>
              <w:right w:val="none" w:color="FFFFFF" w:sz="0"/>
            </w:tcBorders>
            <w:shd w:fill="1B2B4B"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3113"/>
            <w:tcBorders>
              <w:top w:val="none" w:color="FFFFFF" w:sz="0"/>
              <w:left w:val="none" w:color="FFFFFF" w:sz="0"/>
              <w:bottom w:val="none" w:color="FFFFFF" w:sz="0"/>
              <w:right w:val="none" w:color="FFFFFF" w:sz="0"/>
            </w:tcBorders>
            <w:shd w:fill="1B2B4B" w:val="clear"/>
            <w:tcMar>
              <w:top w:type="dxa" w:w="100"/>
              <w:left w:type="dxa" w:w="120"/>
              <w:bottom w:type="dxa" w:w="100"/>
              <w:right w:type="dxa" w:w="160"/>
            </w:tcMar>
          </w:tcPr>
          <w:p>
            <w:r>
              <w:rPr>
                <w:rFonts w:ascii="Arial" w:cs="Arial" w:eastAsia="Arial" w:hAnsi="Arial"/>
                <w:b/>
                <w:bCs/>
                <w:color w:val="FFFFFF"/>
                <w:sz w:val="20"/>
                <w:szCs w:val="20"/>
              </w:rPr>
              <w:t xml:space="preserve">Limitation</w:t>
            </w:r>
          </w:p>
        </w:tc>
      </w:tr>
      <w:tr>
        <w:tc>
          <w:tcPr>
            <w:tcW w:type="dxa" w:w="28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val="false"/>
                <w:bCs w:val="false"/>
                <w:color w:val="1A1A2E"/>
                <w:sz w:val="20"/>
                <w:szCs w:val="20"/>
              </w:rPr>
              <w:t xml:space="preserve">Direct acquirers</w:t>
            </w:r>
          </w:p>
        </w:tc>
        <w:tc>
          <w:tcPr>
            <w:tcW w:type="dxa" w:w="3113"/>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Worldpay, Barclaycard</w:t>
            </w:r>
          </w:p>
        </w:tc>
        <w:tc>
          <w:tcPr>
            <w:tcW w:type="dxa" w:w="3113"/>
            <w:tcBorders>
              <w:top w:val="none" w:color="FFFFFF" w:sz="0"/>
              <w:left w:val="none" w:color="FFFFFF" w:sz="0"/>
              <w:bottom w:val="none" w:color="FFFFFF" w:sz="0"/>
              <w:right w:val="none" w:color="FFFFFF" w:sz="0"/>
            </w:tcBorders>
            <w:shd w:fill="EEF4FB" w:val="clear"/>
            <w:tcMar>
              <w:top w:type="dxa" w:w="80"/>
              <w:left w:type="dxa" w:w="120"/>
              <w:bottom w:type="dxa" w:w="80"/>
              <w:right w:type="dxa" w:w="160"/>
            </w:tcMar>
          </w:tcPr>
          <w:p>
            <w:r>
              <w:rPr>
                <w:rFonts w:ascii="Arial" w:cs="Arial" w:eastAsia="Arial" w:hAnsi="Arial"/>
                <w:b w:val="false"/>
                <w:bCs w:val="false"/>
                <w:color w:val="1A1A2E"/>
                <w:sz w:val="20"/>
                <w:szCs w:val="20"/>
              </w:rPr>
              <w:t xml:space="preserve">Tied to one solution; expensive for smaller merchants</w:t>
            </w:r>
          </w:p>
        </w:tc>
      </w:tr>
      <w:tr>
        <w:tc>
          <w:tcPr>
            <w:tcW w:type="dxa" w:w="28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Tied resellers</w:t>
            </w:r>
          </w:p>
        </w:tc>
        <w:tc>
          <w:tcPr>
            <w:tcW w:type="dxa" w:w="311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Bank ISOs, single-acquirer agents</w:t>
            </w:r>
          </w:p>
        </w:tc>
        <w:tc>
          <w:tcPr>
            <w:tcW w:type="dxa" w:w="3113"/>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b w:val="false"/>
                <w:bCs w:val="false"/>
                <w:color w:val="1A1A2E"/>
                <w:sz w:val="20"/>
                <w:szCs w:val="20"/>
              </w:rPr>
              <w:t xml:space="preserve">Can only offer what their acquirer provides</w:t>
            </w:r>
          </w:p>
        </w:tc>
      </w:tr>
      <w:tr>
        <w:tc>
          <w:tcPr>
            <w:tcW w:type="dxa" w:w="28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1A1A2E"/>
                <w:sz w:val="20"/>
                <w:szCs w:val="20"/>
              </w:rPr>
              <w:t xml:space="preserve">Independent brokers</w:t>
            </w:r>
          </w:p>
        </w:tc>
        <w:tc>
          <w:tcPr>
            <w:tcW w:type="dxa" w:w="3113"/>
            <w:tcBorders>
              <w:top w:val="none" w:color="FFFFFF" w:sz="0"/>
              <w:left w:val="none" w:color="FFFFFF" w:sz="0"/>
              <w:bottom w:val="none" w:color="FFFFFF" w:sz="0"/>
              <w:right w:val="none" w:color="FFFFFF" w:sz="0"/>
            </w:tcBorders>
            <w:shd w:fill="EEF4FB" w:val="clear"/>
            <w:tcMar>
              <w:top w:type="dxa" w:w="80"/>
              <w:left w:type="dxa" w:w="120"/>
              <w:bottom w:type="dxa" w:w="80"/>
              <w:right w:type="dxa" w:w="120"/>
            </w:tcMar>
          </w:tcPr>
          <w:p>
            <w:r>
              <w:rPr>
                <w:rFonts w:ascii="Arial" w:cs="Arial" w:eastAsia="Arial" w:hAnsi="Arial"/>
                <w:b w:val="false"/>
                <w:bCs w:val="false"/>
                <w:color w:val="1A1A2E"/>
                <w:sz w:val="20"/>
                <w:szCs w:val="20"/>
              </w:rPr>
              <w:t xml:space="preserve">Payhorizon</w:t>
            </w:r>
          </w:p>
        </w:tc>
        <w:tc>
          <w:tcPr>
            <w:tcW w:type="dxa" w:w="3113"/>
            <w:tcBorders>
              <w:top w:val="none" w:color="FFFFFF" w:sz="0"/>
              <w:left w:val="none" w:color="FFFFFF" w:sz="0"/>
              <w:bottom w:val="none" w:color="FFFFFF" w:sz="0"/>
              <w:right w:val="none" w:color="FFFFFF" w:sz="0"/>
            </w:tcBorders>
            <w:shd w:fill="EEF4FB" w:val="clear"/>
            <w:tcMar>
              <w:top w:type="dxa" w:w="80"/>
              <w:left w:type="dxa" w:w="120"/>
              <w:bottom w:type="dxa" w:w="80"/>
              <w:right w:type="dxa" w:w="160"/>
            </w:tcMar>
          </w:tcPr>
          <w:p>
            <w:r>
              <w:rPr>
                <w:rFonts w:ascii="Arial" w:cs="Arial" w:eastAsia="Arial" w:hAnsi="Arial"/>
                <w:b w:val="false"/>
                <w:bCs w:val="false"/>
                <w:color w:val="1A1A2E"/>
                <w:sz w:val="20"/>
                <w:szCs w:val="20"/>
              </w:rPr>
              <w:t xml:space="preserve">None — we choose the best fit for each client</w:t>
            </w:r>
          </w:p>
        </w:tc>
      </w:tr>
    </w:tbl>
    <w:p>
      <w:pPr>
        <w:spacing w:before="200" w:after="0"/>
      </w:pPr>
    </w:p>
    <w:p>
      <w:pPr>
        <w:pStyle w:val="Heading2"/>
        <w:spacing w:before="320" w:after="120"/>
      </w:pPr>
      <w:r>
        <w:rPr>
          <w:rFonts w:ascii="Arial" w:cs="Arial" w:eastAsia="Arial" w:hAnsi="Arial"/>
          <w:b/>
          <w:bCs/>
          <w:color w:val="0077B6"/>
          <w:sz w:val="26"/>
          <w:szCs w:val="26"/>
        </w:rPr>
        <w:t xml:space="preserve">Our Core Differentiators</w:t>
      </w:r>
    </w:p>
    <w:p>
      <w:pPr>
        <w:pStyle w:val="ListParagraph"/>
        <w:numPr>
          <w:ilvl w:val="0"/>
          <w:numId w:val="2"/>
        </w:numPr>
        <w:spacing w:before="40" w:after="40"/>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Provider independence — we are not owned by, contracted to, or incentivised by any single acquirer.</w:t>
      </w:r>
    </w:p>
    <w:p>
      <w:pPr>
        <w:pStyle w:val="ListParagraph"/>
        <w:numPr>
          <w:ilvl w:val="0"/>
          <w:numId w:val="2"/>
        </w:numPr>
        <w:spacing w:before="40" w:after="40"/>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Panel breadth — we work with multiple UK acquirers and payment providers, giving merchants genuine choice.</w:t>
      </w:r>
    </w:p>
    <w:p>
      <w:pPr>
        <w:pStyle w:val="ListParagraph"/>
        <w:numPr>
          <w:ilvl w:val="0"/>
          <w:numId w:val="2"/>
        </w:numPr>
        <w:spacing w:before="40" w:after="40"/>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Sector depth — we have specialist capability for high-volume, institutional, and complex merchant profiles.</w:t>
      </w:r>
    </w:p>
    <w:p>
      <w:pPr>
        <w:pStyle w:val="ListParagraph"/>
        <w:numPr>
          <w:ilvl w:val="0"/>
          <w:numId w:val="2"/>
        </w:numPr>
        <w:spacing w:before="40" w:after="40"/>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Transparent pricing — we offer IC++ pricing where appropriate, so merchants see exactly what they pay and why.</w:t>
      </w:r>
    </w:p>
    <w:p>
      <w:pPr>
        <w:pStyle w:val="ListParagraph"/>
        <w:numPr>
          <w:ilvl w:val="0"/>
          <w:numId w:val="2"/>
        </w:numPr>
        <w:spacing w:before="40" w:after="40"/>
      </w:pPr>
      <w:r>
        <w:rPr>
          <w:rFonts w:ascii="Arial" w:cs="Arial" w:eastAsia="Arial" w:hAnsi="Arial"/>
          <w:b/>
          <w:bCs/>
          <w:color w:val="1A1A2E"/>
          <w:sz w:val="22"/>
          <w:szCs w:val="22"/>
        </w:rPr>
        <w:t xml:space="preserve">5. </w:t>
      </w:r>
      <w:r>
        <w:rPr>
          <w:rFonts w:ascii="Arial" w:cs="Arial" w:eastAsia="Arial" w:hAnsi="Arial"/>
          <w:color w:val="1A1A2E"/>
          <w:sz w:val="22"/>
          <w:szCs w:val="22"/>
        </w:rPr>
        <w:t xml:space="preserve">End-to-end service — from onboarding to live support, we manage the relationship so the merchant does not have to.</w:t>
      </w:r>
    </w:p>
    <w:p>
      <w:pPr>
        <w:spacing w:before="120" w:after="0"/>
      </w:pPr>
    </w:p>
    <w:p>
      <w:pPr>
        <w:pStyle w:val="Heading1"/>
        <w:spacing w:before="400" w:after="160"/>
      </w:pPr>
      <w:r>
        <w:rPr>
          <w:rFonts w:ascii="Arial" w:cs="Arial" w:eastAsia="Arial" w:hAnsi="Arial"/>
          <w:b/>
          <w:bCs/>
          <w:color w:val="1B2B4B"/>
          <w:sz w:val="36"/>
          <w:szCs w:val="36"/>
        </w:rPr>
        <w:t xml:space="preserve">4. Target Customers</w:t>
      </w:r>
    </w:p>
    <w:p>
      <w:pPr>
        <w:pStyle w:val="Heading2"/>
        <w:spacing w:before="320" w:after="120"/>
      </w:pPr>
      <w:r>
        <w:rPr>
          <w:rFonts w:ascii="Arial" w:cs="Arial" w:eastAsia="Arial" w:hAnsi="Arial"/>
          <w:b/>
          <w:bCs/>
          <w:color w:val="0077B6"/>
          <w:sz w:val="26"/>
          <w:szCs w:val="26"/>
        </w:rPr>
        <w:t xml:space="preserve">Segment A — SME Physical</w:t>
      </w:r>
    </w:p>
    <w:p>
      <w:pPr>
        <w:spacing w:before="60" w:after="100"/>
      </w:pPr>
      <w:r>
        <w:rPr>
          <w:rFonts w:ascii="Arial" w:cs="Arial" w:eastAsia="Arial" w:hAnsi="Arial"/>
          <w:color w:val="1A1A2E"/>
          <w:sz w:val="22"/>
          <w:szCs w:val="22"/>
        </w:rPr>
        <w:t xml:space="preserve">Our foundation segment. These businesses take card payments in person and need a reliable, competitively priced solution without complexity.</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none" w:color="FFFFFF" w:sz="0"/>
              <w:left w:val="none" w:color="FFFFFF" w:sz="0"/>
              <w:bottom w:val="none" w:color="FFFFFF" w:sz="0"/>
              <w:right w:val="none" w:color="FFFFFF" w:sz="0"/>
            </w:tcBorders>
            <w:shd w:fill="1B2B4B" w:val="clear"/>
            <w:tcMar>
              <w:top w:type="dxa" w:w="80"/>
              <w:left w:type="dxa" w:w="160"/>
              <w:bottom w:type="dxa" w:w="80"/>
              <w:right w:type="dxa" w:w="120"/>
            </w:tcMar>
          </w:tcPr>
          <w:p>
            <w:r>
              <w:rPr>
                <w:rFonts w:ascii="Arial" w:cs="Arial" w:eastAsia="Arial" w:hAnsi="Arial"/>
                <w:b/>
                <w:bCs/>
                <w:color w:val="FFFFFF"/>
                <w:sz w:val="20"/>
                <w:szCs w:val="20"/>
              </w:rPr>
              <w:t xml:space="preserve">Profile</w:t>
            </w:r>
          </w:p>
        </w:tc>
        <w:tc>
          <w:tcPr>
            <w:tcW w:type="dxa" w:w="3013"/>
            <w:tcBorders>
              <w:top w:val="none" w:color="FFFFFF" w:sz="0"/>
              <w:left w:val="none" w:color="FFFFFF" w:sz="0"/>
              <w:bottom w:val="none" w:color="FFFFFF" w:sz="0"/>
              <w:right w:val="none" w:color="FFFFFF" w:sz="0"/>
            </w:tcBorders>
            <w:shd w:fill="1B2B4B" w:val="clear"/>
            <w:tcMar>
              <w:top w:type="dxa" w:w="80"/>
              <w:left w:type="dxa" w:w="160"/>
              <w:bottom w:type="dxa" w:w="80"/>
              <w:right w:type="dxa" w:w="120"/>
            </w:tcMar>
          </w:tcPr>
          <w:p>
            <w:r>
              <w:rPr>
                <w:rFonts w:ascii="Arial" w:cs="Arial" w:eastAsia="Arial" w:hAnsi="Arial"/>
                <w:b/>
                <w:bCs/>
                <w:color w:val="FFFFFF"/>
                <w:sz w:val="20"/>
                <w:szCs w:val="20"/>
              </w:rPr>
              <w:t xml:space="preserve">What they need</w:t>
            </w:r>
          </w:p>
        </w:tc>
        <w:tc>
          <w:tcPr>
            <w:tcW w:type="dxa" w:w="3013"/>
            <w:tcBorders>
              <w:top w:val="none" w:color="FFFFFF" w:sz="0"/>
              <w:left w:val="none" w:color="FFFFFF" w:sz="0"/>
              <w:bottom w:val="none" w:color="FFFFFF" w:sz="0"/>
              <w:right w:val="none" w:color="FFFFFF" w:sz="0"/>
            </w:tcBorders>
            <w:shd w:fill="1B2B4B" w:val="clear"/>
            <w:tcMar>
              <w:top w:type="dxa" w:w="80"/>
              <w:left w:type="dxa" w:w="160"/>
              <w:bottom w:type="dxa" w:w="80"/>
              <w:right w:type="dxa" w:w="120"/>
            </w:tcMar>
          </w:tcPr>
          <w:p>
            <w:r>
              <w:rPr>
                <w:rFonts w:ascii="Arial" w:cs="Arial" w:eastAsia="Arial" w:hAnsi="Arial"/>
                <w:b/>
                <w:bCs/>
                <w:color w:val="FFFFFF"/>
                <w:sz w:val="20"/>
                <w:szCs w:val="20"/>
              </w:rPr>
              <w:t xml:space="preserve">What we offer</w:t>
            </w:r>
          </w:p>
        </w:tc>
      </w:tr>
      <w:tr>
        <w:tc>
          <w:tcPr>
            <w:tcW w:type="dxa" w:w="30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color w:val="1A1A2E"/>
                <w:sz w:val="20"/>
                <w:szCs w:val="20"/>
              </w:rPr>
              <w:t xml:space="preserve">Retail shops, cafes, restaurants, salons, gyms, tradespeople</w:t>
            </w:r>
          </w:p>
        </w:tc>
        <w:tc>
          <w:tcPr>
            <w:tcW w:type="dxa" w:w="3013"/>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color w:val="1A1A2E"/>
                <w:sz w:val="20"/>
                <w:szCs w:val="20"/>
              </w:rPr>
              <w:t xml:space="preserve">Simple terminal, fast settlement, good rates</w:t>
            </w:r>
          </w:p>
        </w:tc>
        <w:tc>
          <w:tcPr>
            <w:tcW w:type="dxa" w:w="3013"/>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color w:val="1A1A2E"/>
                <w:sz w:val="20"/>
                <w:szCs w:val="20"/>
              </w:rPr>
              <w:t xml:space="preserve">Card terminals, BOXX app, IC++ or blended rates, MCA finance</w:t>
            </w:r>
          </w:p>
        </w:tc>
      </w:tr>
      <w:tr>
        <w:tc>
          <w:tcPr>
            <w:tcW w:type="dxa" w:w="30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2E"/>
                <w:sz w:val="20"/>
                <w:szCs w:val="20"/>
              </w:rPr>
              <w:t xml:space="preserve">Turnover: £5k – £500k/month card</w:t>
            </w:r>
          </w:p>
        </w:tc>
        <w:tc>
          <w:tcPr>
            <w:tcW w:type="dxa" w:w="3013"/>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2E"/>
                <w:sz w:val="20"/>
                <w:szCs w:val="20"/>
              </w:rPr>
              <w:t xml:space="preserve">No-fuss onboarding, responsive support</w:t>
            </w:r>
          </w:p>
        </w:tc>
        <w:tc>
          <w:tcPr>
            <w:tcW w:type="dxa" w:w="3013"/>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color w:val="1A1A2E"/>
                <w:sz w:val="20"/>
                <w:szCs w:val="20"/>
              </w:rPr>
              <w:t xml:space="preserve">Dedicated onboarding, fast approvals (3–4 days for MCA)</w:t>
            </w:r>
          </w:p>
        </w:tc>
      </w:tr>
    </w:tbl>
    <w:p>
      <w:pPr>
        <w:spacing w:before="200" w:after="0"/>
      </w:pPr>
    </w:p>
    <w:p>
      <w:pPr>
        <w:pStyle w:val="Heading2"/>
        <w:spacing w:before="320" w:after="120"/>
      </w:pPr>
      <w:r>
        <w:rPr>
          <w:rFonts w:ascii="Arial" w:cs="Arial" w:eastAsia="Arial" w:hAnsi="Arial"/>
          <w:b/>
          <w:bCs/>
          <w:color w:val="0077B6"/>
          <w:sz w:val="26"/>
          <w:szCs w:val="26"/>
        </w:rPr>
        <w:t xml:space="preserve">Segment B — High-Volume Institutional</w:t>
      </w:r>
    </w:p>
    <w:p>
      <w:pPr>
        <w:spacing w:before="60" w:after="100"/>
      </w:pPr>
      <w:r>
        <w:rPr>
          <w:rFonts w:ascii="Arial" w:cs="Arial" w:eastAsia="Arial" w:hAnsi="Arial"/>
          <w:color w:val="1A1A2E"/>
          <w:sz w:val="22"/>
          <w:szCs w:val="22"/>
        </w:rPr>
        <w:t xml:space="preserve">Our growth segment and key differentiator. These organisations process high transaction volumes, often across multiple channels and locations. They are underserved by standard resellers and reward loyalty through long contracts and significant residual income.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shd w:fill="1B2B4B" w:val="clear"/>
            <w:tcMar>
              <w:top w:type="dxa" w:w="80"/>
              <w:left w:type="dxa" w:w="160"/>
              <w:bottom w:type="dxa" w:w="80"/>
              <w:right w:type="dxa" w:w="120"/>
            </w:tcMar>
          </w:tcPr>
          <w:p>
            <w:r>
              <w:rPr>
                <w:rFonts w:ascii="Arial" w:cs="Arial" w:eastAsia="Arial" w:hAnsi="Arial"/>
                <w:b/>
                <w:bCs/>
                <w:color w:val="FFFFFF"/>
                <w:sz w:val="20"/>
                <w:szCs w:val="20"/>
              </w:rPr>
              <w:t xml:space="preserve">Sector</w:t>
            </w:r>
          </w:p>
        </w:tc>
        <w:tc>
          <w:tcPr>
            <w:tcW w:type="dxa" w:w="5826"/>
            <w:tcBorders>
              <w:top w:val="none" w:color="FFFFFF" w:sz="0"/>
              <w:left w:val="none" w:color="FFFFFF" w:sz="0"/>
              <w:bottom w:val="none" w:color="FFFFFF" w:sz="0"/>
              <w:right w:val="none" w:color="FFFFFF" w:sz="0"/>
            </w:tcBorders>
            <w:shd w:fill="1B2B4B" w:val="clear"/>
            <w:tcMar>
              <w:top w:type="dxa" w:w="80"/>
              <w:left w:type="dxa" w:w="120"/>
              <w:bottom w:type="dxa" w:w="80"/>
              <w:right w:type="dxa" w:w="160"/>
            </w:tcMar>
          </w:tcPr>
          <w:p>
            <w:r>
              <w:rPr>
                <w:rFonts w:ascii="Arial" w:cs="Arial" w:eastAsia="Arial" w:hAnsi="Arial"/>
                <w:b/>
                <w:bCs/>
                <w:color w:val="FFFFFF"/>
                <w:sz w:val="20"/>
                <w:szCs w:val="20"/>
              </w:rPr>
              <w:t xml:space="preserve">Payment Use Case</w:t>
            </w:r>
          </w:p>
        </w:tc>
      </w:tr>
      <w:tr>
        <w:tc>
          <w:tcPr>
            <w:tcW w:type="dxa" w:w="3200"/>
            <w:tcBorders>
              <w:top w:val="none" w:color="FFFFFF" w:sz="0"/>
              <w:left w:val="none" w:color="FFFFFF" w:sz="0"/>
              <w:bottom w:val="none" w:color="FFFFFF" w:sz="0"/>
              <w:right w:val="none" w:color="FFFFFF" w:sz="0"/>
            </w:tcBorders>
            <w:shd w:fill="EEF4FB" w:val="clear"/>
            <w:tcMar>
              <w:top w:type="dxa" w:w="70"/>
              <w:left w:type="dxa" w:w="160"/>
              <w:bottom w:type="dxa" w:w="70"/>
              <w:right w:type="dxa" w:w="120"/>
            </w:tcMar>
          </w:tcPr>
          <w:p>
            <w:r>
              <w:rPr>
                <w:rFonts w:ascii="Arial" w:cs="Arial" w:eastAsia="Arial" w:hAnsi="Arial"/>
                <w:b/>
                <w:bCs/>
                <w:color w:val="1A1A2E"/>
                <w:sz w:val="20"/>
                <w:szCs w:val="20"/>
              </w:rPr>
              <w:t xml:space="preserve">Transport operators</w:t>
            </w:r>
          </w:p>
        </w:tc>
        <w:tc>
          <w:tcPr>
            <w:tcW w:type="dxa" w:w="5826"/>
            <w:tcBorders>
              <w:top w:val="none" w:color="FFFFFF" w:sz="0"/>
              <w:left w:val="none" w:color="FFFFFF" w:sz="0"/>
              <w:bottom w:val="none" w:color="FFFFFF" w:sz="0"/>
              <w:right w:val="none" w:color="FFFFFF" w:sz="0"/>
            </w:tcBorders>
            <w:shd w:fill="EEF4FB" w:val="clear"/>
            <w:tcMar>
              <w:top w:type="dxa" w:w="70"/>
              <w:left w:type="dxa" w:w="120"/>
              <w:bottom w:type="dxa" w:w="70"/>
              <w:right w:type="dxa" w:w="160"/>
            </w:tcMar>
          </w:tcPr>
          <w:p>
            <w:r>
              <w:rPr>
                <w:rFonts w:ascii="Arial" w:cs="Arial" w:eastAsia="Arial" w:hAnsi="Arial"/>
                <w:b w:val="false"/>
                <w:bCs w:val="false"/>
                <w:color w:val="1A1A2E"/>
                <w:sz w:val="20"/>
                <w:szCs w:val="20"/>
              </w:rPr>
              <w:t xml:space="preserve">Onboard ticketing, depot payments, driver cash-out, seasonal passes</w:t>
            </w:r>
          </w:p>
        </w:tc>
      </w:tr>
      <w:tr>
        <w:tc>
          <w:tcPr>
            <w:tcW w:type="dxa" w:w="3200"/>
            <w:tcBorders>
              <w:top w:val="none" w:color="FFFFFF" w:sz="0"/>
              <w:left w:val="none" w:color="FFFFFF" w:sz="0"/>
              <w:bottom w:val="none" w:color="FFFFFF" w:sz="0"/>
              <w:right w:val="none" w:color="FFFFFF" w:sz="0"/>
            </w:tcBorders>
            <w:shd w:fill="FFFFFF" w:val="clear"/>
            <w:tcMar>
              <w:top w:type="dxa" w:w="70"/>
              <w:left w:type="dxa" w:w="160"/>
              <w:bottom w:type="dxa" w:w="70"/>
              <w:right w:type="dxa" w:w="120"/>
            </w:tcMar>
          </w:tcPr>
          <w:p>
            <w:r>
              <w:rPr>
                <w:rFonts w:ascii="Arial" w:cs="Arial" w:eastAsia="Arial" w:hAnsi="Arial"/>
                <w:b/>
                <w:bCs/>
                <w:color w:val="1A1A2E"/>
                <w:sz w:val="20"/>
                <w:szCs w:val="20"/>
              </w:rPr>
              <w:t xml:space="preserve">Parking operators</w:t>
            </w:r>
          </w:p>
        </w:tc>
        <w:tc>
          <w:tcPr>
            <w:tcW w:type="dxa" w:w="5826"/>
            <w:tcBorders>
              <w:top w:val="none" w:color="FFFFFF" w:sz="0"/>
              <w:left w:val="none" w:color="FFFFFF" w:sz="0"/>
              <w:bottom w:val="none" w:color="FFFFFF" w:sz="0"/>
              <w:right w:val="none" w:color="FFFFFF" w:sz="0"/>
            </w:tcBorders>
            <w:shd w:fill="FFFFFF" w:val="clear"/>
            <w:tcMar>
              <w:top w:type="dxa" w:w="70"/>
              <w:left w:type="dxa" w:w="120"/>
              <w:bottom w:type="dxa" w:w="70"/>
              <w:right w:type="dxa" w:w="160"/>
            </w:tcMar>
          </w:tcPr>
          <w:p>
            <w:r>
              <w:rPr>
                <w:rFonts w:ascii="Arial" w:cs="Arial" w:eastAsia="Arial" w:hAnsi="Arial"/>
                <w:b w:val="false"/>
                <w:bCs w:val="false"/>
                <w:color w:val="1A1A2E"/>
                <w:sz w:val="20"/>
                <w:szCs w:val="20"/>
              </w:rPr>
              <w:t xml:space="preserve">Pay &amp; display, ANPR-linked payments, permit renewals, penalty payments</w:t>
            </w:r>
          </w:p>
        </w:tc>
      </w:tr>
      <w:tr>
        <w:tc>
          <w:tcPr>
            <w:tcW w:type="dxa" w:w="3200"/>
            <w:tcBorders>
              <w:top w:val="none" w:color="FFFFFF" w:sz="0"/>
              <w:left w:val="none" w:color="FFFFFF" w:sz="0"/>
              <w:bottom w:val="none" w:color="FFFFFF" w:sz="0"/>
              <w:right w:val="none" w:color="FFFFFF" w:sz="0"/>
            </w:tcBorders>
            <w:shd w:fill="EEF4FB" w:val="clear"/>
            <w:tcMar>
              <w:top w:type="dxa" w:w="70"/>
              <w:left w:type="dxa" w:w="160"/>
              <w:bottom w:type="dxa" w:w="70"/>
              <w:right w:type="dxa" w:w="120"/>
            </w:tcMar>
          </w:tcPr>
          <w:p>
            <w:r>
              <w:rPr>
                <w:rFonts w:ascii="Arial" w:cs="Arial" w:eastAsia="Arial" w:hAnsi="Arial"/>
                <w:b/>
                <w:bCs/>
                <w:color w:val="1A1A2E"/>
                <w:sz w:val="20"/>
                <w:szCs w:val="20"/>
              </w:rPr>
              <w:t xml:space="preserve">Government bodies</w:t>
            </w:r>
          </w:p>
        </w:tc>
        <w:tc>
          <w:tcPr>
            <w:tcW w:type="dxa" w:w="5826"/>
            <w:tcBorders>
              <w:top w:val="none" w:color="FFFFFF" w:sz="0"/>
              <w:left w:val="none" w:color="FFFFFF" w:sz="0"/>
              <w:bottom w:val="none" w:color="FFFFFF" w:sz="0"/>
              <w:right w:val="none" w:color="FFFFFF" w:sz="0"/>
            </w:tcBorders>
            <w:shd w:fill="EEF4FB" w:val="clear"/>
            <w:tcMar>
              <w:top w:type="dxa" w:w="70"/>
              <w:left w:type="dxa" w:w="120"/>
              <w:bottom w:type="dxa" w:w="70"/>
              <w:right w:type="dxa" w:w="160"/>
            </w:tcMar>
          </w:tcPr>
          <w:p>
            <w:r>
              <w:rPr>
                <w:rFonts w:ascii="Arial" w:cs="Arial" w:eastAsia="Arial" w:hAnsi="Arial"/>
                <w:b w:val="false"/>
                <w:bCs w:val="false"/>
                <w:color w:val="1A1A2E"/>
                <w:sz w:val="20"/>
                <w:szCs w:val="20"/>
              </w:rPr>
              <w:t xml:space="preserve">Council tax, licensing fees, fines, leisure centre payments, procurement</w:t>
            </w:r>
          </w:p>
        </w:tc>
      </w:tr>
      <w:tr>
        <w:tc>
          <w:tcPr>
            <w:tcW w:type="dxa" w:w="3200"/>
            <w:tcBorders>
              <w:top w:val="none" w:color="FFFFFF" w:sz="0"/>
              <w:left w:val="none" w:color="FFFFFF" w:sz="0"/>
              <w:bottom w:val="none" w:color="FFFFFF" w:sz="0"/>
              <w:right w:val="none" w:color="FFFFFF" w:sz="0"/>
            </w:tcBorders>
            <w:shd w:fill="FFFFFF" w:val="clear"/>
            <w:tcMar>
              <w:top w:type="dxa" w:w="70"/>
              <w:left w:type="dxa" w:w="160"/>
              <w:bottom w:type="dxa" w:w="70"/>
              <w:right w:type="dxa" w:w="120"/>
            </w:tcMar>
          </w:tcPr>
          <w:p>
            <w:r>
              <w:rPr>
                <w:rFonts w:ascii="Arial" w:cs="Arial" w:eastAsia="Arial" w:hAnsi="Arial"/>
                <w:b/>
                <w:bCs/>
                <w:color w:val="1A1A2E"/>
                <w:sz w:val="20"/>
                <w:szCs w:val="20"/>
              </w:rPr>
              <w:t xml:space="preserve">Housing associations</w:t>
            </w:r>
          </w:p>
        </w:tc>
        <w:tc>
          <w:tcPr>
            <w:tcW w:type="dxa" w:w="5826"/>
            <w:tcBorders>
              <w:top w:val="none" w:color="FFFFFF" w:sz="0"/>
              <w:left w:val="none" w:color="FFFFFF" w:sz="0"/>
              <w:bottom w:val="none" w:color="FFFFFF" w:sz="0"/>
              <w:right w:val="none" w:color="FFFFFF" w:sz="0"/>
            </w:tcBorders>
            <w:shd w:fill="FFFFFF" w:val="clear"/>
            <w:tcMar>
              <w:top w:type="dxa" w:w="70"/>
              <w:left w:type="dxa" w:w="120"/>
              <w:bottom w:type="dxa" w:w="70"/>
              <w:right w:type="dxa" w:w="160"/>
            </w:tcMar>
          </w:tcPr>
          <w:p>
            <w:r>
              <w:rPr>
                <w:rFonts w:ascii="Arial" w:cs="Arial" w:eastAsia="Arial" w:hAnsi="Arial"/>
                <w:b w:val="false"/>
                <w:bCs w:val="false"/>
                <w:color w:val="1A1A2E"/>
                <w:sz w:val="20"/>
                <w:szCs w:val="20"/>
              </w:rPr>
              <w:t xml:space="preserve">Rent collection, service charges, maintenance deposit payments</w:t>
            </w:r>
          </w:p>
        </w:tc>
      </w:tr>
      <w:tr>
        <w:tc>
          <w:tcPr>
            <w:tcW w:type="dxa" w:w="3200"/>
            <w:tcBorders>
              <w:top w:val="none" w:color="FFFFFF" w:sz="0"/>
              <w:left w:val="none" w:color="FFFFFF" w:sz="0"/>
              <w:bottom w:val="none" w:color="FFFFFF" w:sz="0"/>
              <w:right w:val="none" w:color="FFFFFF" w:sz="0"/>
            </w:tcBorders>
            <w:shd w:fill="EEF4FB" w:val="clear"/>
            <w:tcMar>
              <w:top w:type="dxa" w:w="70"/>
              <w:left w:type="dxa" w:w="160"/>
              <w:bottom w:type="dxa" w:w="70"/>
              <w:right w:type="dxa" w:w="120"/>
            </w:tcMar>
          </w:tcPr>
          <w:p>
            <w:r>
              <w:rPr>
                <w:rFonts w:ascii="Arial" w:cs="Arial" w:eastAsia="Arial" w:hAnsi="Arial"/>
                <w:b/>
                <w:bCs/>
                <w:color w:val="1A1A2E"/>
                <w:sz w:val="20"/>
                <w:szCs w:val="20"/>
              </w:rPr>
              <w:t xml:space="preserve">Utilities &amp; telecoms</w:t>
            </w:r>
          </w:p>
        </w:tc>
        <w:tc>
          <w:tcPr>
            <w:tcW w:type="dxa" w:w="5826"/>
            <w:tcBorders>
              <w:top w:val="none" w:color="FFFFFF" w:sz="0"/>
              <w:left w:val="none" w:color="FFFFFF" w:sz="0"/>
              <w:bottom w:val="none" w:color="FFFFFF" w:sz="0"/>
              <w:right w:val="none" w:color="FFFFFF" w:sz="0"/>
            </w:tcBorders>
            <w:shd w:fill="EEF4FB" w:val="clear"/>
            <w:tcMar>
              <w:top w:type="dxa" w:w="70"/>
              <w:left w:type="dxa" w:w="120"/>
              <w:bottom w:type="dxa" w:w="70"/>
              <w:right w:type="dxa" w:w="160"/>
            </w:tcMar>
          </w:tcPr>
          <w:p>
            <w:r>
              <w:rPr>
                <w:rFonts w:ascii="Arial" w:cs="Arial" w:eastAsia="Arial" w:hAnsi="Arial"/>
                <w:b w:val="false"/>
                <w:bCs w:val="false"/>
                <w:color w:val="1A1A2E"/>
                <w:sz w:val="20"/>
                <w:szCs w:val="20"/>
              </w:rPr>
              <w:t xml:space="preserve">Bill payment portals, top-up services, engineer call-out deposits</w:t>
            </w:r>
          </w:p>
        </w:tc>
      </w:tr>
      <w:tr>
        <w:tc>
          <w:tcPr>
            <w:tcW w:type="dxa" w:w="3200"/>
            <w:tcBorders>
              <w:top w:val="none" w:color="FFFFFF" w:sz="0"/>
              <w:left w:val="none" w:color="FFFFFF" w:sz="0"/>
              <w:bottom w:val="none" w:color="FFFFFF" w:sz="0"/>
              <w:right w:val="none" w:color="FFFFFF" w:sz="0"/>
            </w:tcBorders>
            <w:shd w:fill="FFFFFF" w:val="clear"/>
            <w:tcMar>
              <w:top w:type="dxa" w:w="70"/>
              <w:left w:type="dxa" w:w="160"/>
              <w:bottom w:type="dxa" w:w="70"/>
              <w:right w:type="dxa" w:w="120"/>
            </w:tcMar>
          </w:tcPr>
          <w:p>
            <w:r>
              <w:rPr>
                <w:rFonts w:ascii="Arial" w:cs="Arial" w:eastAsia="Arial" w:hAnsi="Arial"/>
                <w:b/>
                <w:bCs/>
                <w:color w:val="1A1A2E"/>
                <w:sz w:val="20"/>
                <w:szCs w:val="20"/>
              </w:rPr>
              <w:t xml:space="preserve">Education (MATs, HE)</w:t>
            </w:r>
          </w:p>
        </w:tc>
        <w:tc>
          <w:tcPr>
            <w:tcW w:type="dxa" w:w="5826"/>
            <w:tcBorders>
              <w:top w:val="none" w:color="FFFFFF" w:sz="0"/>
              <w:left w:val="none" w:color="FFFFFF" w:sz="0"/>
              <w:bottom w:val="none" w:color="FFFFFF" w:sz="0"/>
              <w:right w:val="none" w:color="FFFFFF" w:sz="0"/>
            </w:tcBorders>
            <w:shd w:fill="FFFFFF" w:val="clear"/>
            <w:tcMar>
              <w:top w:type="dxa" w:w="70"/>
              <w:left w:type="dxa" w:w="120"/>
              <w:bottom w:type="dxa" w:w="70"/>
              <w:right w:type="dxa" w:w="160"/>
            </w:tcMar>
          </w:tcPr>
          <w:p>
            <w:r>
              <w:rPr>
                <w:rFonts w:ascii="Arial" w:cs="Arial" w:eastAsia="Arial" w:hAnsi="Arial"/>
                <w:b w:val="false"/>
                <w:bCs w:val="false"/>
                <w:color w:val="1A1A2E"/>
                <w:sz w:val="20"/>
                <w:szCs w:val="20"/>
              </w:rPr>
              <w:t xml:space="preserve">Tuition, canteen, trips, alumni donations, exam fees</w:t>
            </w:r>
          </w:p>
        </w:tc>
      </w:tr>
      <w:tr>
        <w:tc>
          <w:tcPr>
            <w:tcW w:type="dxa" w:w="3200"/>
            <w:tcBorders>
              <w:top w:val="none" w:color="FFFFFF" w:sz="0"/>
              <w:left w:val="none" w:color="FFFFFF" w:sz="0"/>
              <w:bottom w:val="none" w:color="FFFFFF" w:sz="0"/>
              <w:right w:val="none" w:color="FFFFFF" w:sz="0"/>
            </w:tcBorders>
            <w:shd w:fill="EEF4FB" w:val="clear"/>
            <w:tcMar>
              <w:top w:type="dxa" w:w="70"/>
              <w:left w:type="dxa" w:w="160"/>
              <w:bottom w:type="dxa" w:w="70"/>
              <w:right w:type="dxa" w:w="120"/>
            </w:tcMar>
          </w:tcPr>
          <w:p>
            <w:r>
              <w:rPr>
                <w:rFonts w:ascii="Arial" w:cs="Arial" w:eastAsia="Arial" w:hAnsi="Arial"/>
                <w:b/>
                <w:bCs/>
                <w:color w:val="1A1A2E"/>
                <w:sz w:val="20"/>
                <w:szCs w:val="20"/>
              </w:rPr>
              <w:t xml:space="preserve">Events &amp; venues</w:t>
            </w:r>
          </w:p>
        </w:tc>
        <w:tc>
          <w:tcPr>
            <w:tcW w:type="dxa" w:w="5826"/>
            <w:tcBorders>
              <w:top w:val="none" w:color="FFFFFF" w:sz="0"/>
              <w:left w:val="none" w:color="FFFFFF" w:sz="0"/>
              <w:bottom w:val="none" w:color="FFFFFF" w:sz="0"/>
              <w:right w:val="none" w:color="FFFFFF" w:sz="0"/>
            </w:tcBorders>
            <w:shd w:fill="EEF4FB" w:val="clear"/>
            <w:tcMar>
              <w:top w:type="dxa" w:w="70"/>
              <w:left w:type="dxa" w:w="120"/>
              <w:bottom w:type="dxa" w:w="70"/>
              <w:right w:type="dxa" w:w="160"/>
            </w:tcMar>
          </w:tcPr>
          <w:p>
            <w:r>
              <w:rPr>
                <w:rFonts w:ascii="Arial" w:cs="Arial" w:eastAsia="Arial" w:hAnsi="Arial"/>
                <w:b w:val="false"/>
                <w:bCs w:val="false"/>
                <w:color w:val="1A1A2E"/>
                <w:sz w:val="20"/>
                <w:szCs w:val="20"/>
              </w:rPr>
              <w:t xml:space="preserve">Ticketing, hospitality, parking, merchandise, season tickets</w:t>
            </w:r>
          </w:p>
        </w:tc>
      </w:tr>
      <w:tr>
        <w:tc>
          <w:tcPr>
            <w:tcW w:type="dxa" w:w="3200"/>
            <w:tcBorders>
              <w:top w:val="none" w:color="FFFFFF" w:sz="0"/>
              <w:left w:val="none" w:color="FFFFFF" w:sz="0"/>
              <w:bottom w:val="none" w:color="FFFFFF" w:sz="0"/>
              <w:right w:val="none" w:color="FFFFFF" w:sz="0"/>
            </w:tcBorders>
            <w:shd w:fill="FFFFFF" w:val="clear"/>
            <w:tcMar>
              <w:top w:type="dxa" w:w="70"/>
              <w:left w:type="dxa" w:w="160"/>
              <w:bottom w:type="dxa" w:w="70"/>
              <w:right w:type="dxa" w:w="120"/>
            </w:tcMar>
          </w:tcPr>
          <w:p>
            <w:r>
              <w:rPr>
                <w:rFonts w:ascii="Arial" w:cs="Arial" w:eastAsia="Arial" w:hAnsi="Arial"/>
                <w:b/>
                <w:bCs/>
                <w:color w:val="1A1A2E"/>
                <w:sz w:val="20"/>
                <w:szCs w:val="20"/>
              </w:rPr>
              <w:t xml:space="preserve">Healthcare (private)</w:t>
            </w:r>
          </w:p>
        </w:tc>
        <w:tc>
          <w:tcPr>
            <w:tcW w:type="dxa" w:w="5826"/>
            <w:tcBorders>
              <w:top w:val="none" w:color="FFFFFF" w:sz="0"/>
              <w:left w:val="none" w:color="FFFFFF" w:sz="0"/>
              <w:bottom w:val="none" w:color="FFFFFF" w:sz="0"/>
              <w:right w:val="none" w:color="FFFFFF" w:sz="0"/>
            </w:tcBorders>
            <w:shd w:fill="FFFFFF" w:val="clear"/>
            <w:tcMar>
              <w:top w:type="dxa" w:w="70"/>
              <w:left w:type="dxa" w:w="120"/>
              <w:bottom w:type="dxa" w:w="70"/>
              <w:right w:type="dxa" w:w="160"/>
            </w:tcMar>
          </w:tcPr>
          <w:p>
            <w:r>
              <w:rPr>
                <w:rFonts w:ascii="Arial" w:cs="Arial" w:eastAsia="Arial" w:hAnsi="Arial"/>
                <w:b w:val="false"/>
                <w:bCs w:val="false"/>
                <w:color w:val="1A1A2E"/>
                <w:sz w:val="20"/>
                <w:szCs w:val="20"/>
              </w:rPr>
              <w:t xml:space="preserve">Appointment fees, treatment plans, prescription charges</w:t>
            </w:r>
          </w:p>
        </w:tc>
      </w:tr>
      <w:tr>
        <w:tc>
          <w:tcPr>
            <w:tcW w:type="dxa" w:w="3200"/>
            <w:tcBorders>
              <w:top w:val="none" w:color="FFFFFF" w:sz="0"/>
              <w:left w:val="none" w:color="FFFFFF" w:sz="0"/>
              <w:bottom w:val="none" w:color="FFFFFF" w:sz="0"/>
              <w:right w:val="none" w:color="FFFFFF" w:sz="0"/>
            </w:tcBorders>
            <w:shd w:fill="EEF4FB" w:val="clear"/>
            <w:tcMar>
              <w:top w:type="dxa" w:w="70"/>
              <w:left w:type="dxa" w:w="160"/>
              <w:bottom w:type="dxa" w:w="70"/>
              <w:right w:type="dxa" w:w="120"/>
            </w:tcMar>
          </w:tcPr>
          <w:p>
            <w:r>
              <w:rPr>
                <w:rFonts w:ascii="Arial" w:cs="Arial" w:eastAsia="Arial" w:hAnsi="Arial"/>
                <w:b/>
                <w:bCs/>
                <w:color w:val="1A1A2E"/>
                <w:sz w:val="20"/>
                <w:szCs w:val="20"/>
              </w:rPr>
              <w:t xml:space="preserve">Logistics &amp; couriers</w:t>
            </w:r>
          </w:p>
        </w:tc>
        <w:tc>
          <w:tcPr>
            <w:tcW w:type="dxa" w:w="5826"/>
            <w:tcBorders>
              <w:top w:val="none" w:color="FFFFFF" w:sz="0"/>
              <w:left w:val="none" w:color="FFFFFF" w:sz="0"/>
              <w:bottom w:val="none" w:color="FFFFFF" w:sz="0"/>
              <w:right w:val="none" w:color="FFFFFF" w:sz="0"/>
            </w:tcBorders>
            <w:shd w:fill="EEF4FB" w:val="clear"/>
            <w:tcMar>
              <w:top w:type="dxa" w:w="70"/>
              <w:left w:type="dxa" w:w="120"/>
              <w:bottom w:type="dxa" w:w="70"/>
              <w:right w:type="dxa" w:w="160"/>
            </w:tcMar>
          </w:tcPr>
          <w:p>
            <w:r>
              <w:rPr>
                <w:rFonts w:ascii="Arial" w:cs="Arial" w:eastAsia="Arial" w:hAnsi="Arial"/>
                <w:b w:val="false"/>
                <w:bCs w:val="false"/>
                <w:color w:val="1A1A2E"/>
                <w:sz w:val="20"/>
                <w:szCs w:val="20"/>
              </w:rPr>
              <w:t xml:space="preserve">COD collection, depot walk-in, driver-held terminals</w:t>
            </w:r>
          </w:p>
        </w:tc>
      </w:tr>
      <w:tr>
        <w:tc>
          <w:tcPr>
            <w:tcW w:type="dxa" w:w="3200"/>
            <w:tcBorders>
              <w:top w:val="none" w:color="FFFFFF" w:sz="0"/>
              <w:left w:val="none" w:color="FFFFFF" w:sz="0"/>
              <w:bottom w:val="none" w:color="FFFFFF" w:sz="0"/>
              <w:right w:val="none" w:color="FFFFFF" w:sz="0"/>
            </w:tcBorders>
            <w:shd w:fill="FFFFFF" w:val="clear"/>
            <w:tcMar>
              <w:top w:type="dxa" w:w="70"/>
              <w:left w:type="dxa" w:w="160"/>
              <w:bottom w:type="dxa" w:w="70"/>
              <w:right w:type="dxa" w:w="120"/>
            </w:tcMar>
          </w:tcPr>
          <w:p>
            <w:r>
              <w:rPr>
                <w:rFonts w:ascii="Arial" w:cs="Arial" w:eastAsia="Arial" w:hAnsi="Arial"/>
                <w:b/>
                <w:bCs/>
                <w:color w:val="1A1A2E"/>
                <w:sz w:val="20"/>
                <w:szCs w:val="20"/>
              </w:rPr>
              <w:t xml:space="preserve">Charities &amp; NGOs</w:t>
            </w:r>
          </w:p>
        </w:tc>
        <w:tc>
          <w:tcPr>
            <w:tcW w:type="dxa" w:w="5826"/>
            <w:tcBorders>
              <w:top w:val="none" w:color="FFFFFF" w:sz="0"/>
              <w:left w:val="none" w:color="FFFFFF" w:sz="0"/>
              <w:bottom w:val="none" w:color="FFFFFF" w:sz="0"/>
              <w:right w:val="none" w:color="FFFFFF" w:sz="0"/>
            </w:tcBorders>
            <w:shd w:fill="FFFFFF" w:val="clear"/>
            <w:tcMar>
              <w:top w:type="dxa" w:w="70"/>
              <w:left w:type="dxa" w:w="120"/>
              <w:bottom w:type="dxa" w:w="70"/>
              <w:right w:type="dxa" w:w="160"/>
            </w:tcMar>
          </w:tcPr>
          <w:p>
            <w:r>
              <w:rPr>
                <w:rFonts w:ascii="Arial" w:cs="Arial" w:eastAsia="Arial" w:hAnsi="Arial"/>
                <w:b w:val="false"/>
                <w:bCs w:val="false"/>
                <w:color w:val="1A1A2E"/>
                <w:sz w:val="20"/>
                <w:szCs w:val="20"/>
              </w:rPr>
              <w:t xml:space="preserve">Donation portals, event fundraising, Gift Aid-linked payments</w:t>
            </w:r>
          </w:p>
        </w:tc>
      </w:tr>
    </w:tbl>
    <w:p>
      <w:pPr>
        <w:spacing w:before="120" w:after="0"/>
      </w:pPr>
    </w:p>
    <w:p>
      <w:pPr>
        <w:pStyle w:val="Heading1"/>
        <w:spacing w:before="400" w:after="160"/>
      </w:pPr>
      <w:r>
        <w:rPr>
          <w:rFonts w:ascii="Arial" w:cs="Arial" w:eastAsia="Arial" w:hAnsi="Arial"/>
          <w:b/>
          <w:bCs/>
          <w:color w:val="1B2B4B"/>
          <w:sz w:val="36"/>
          <w:szCs w:val="36"/>
        </w:rPr>
        <w:t xml:space="preserve">5. Value Proposition by Segment</w:t>
      </w:r>
    </w:p>
    <w:p>
      <w:pPr>
        <w:pStyle w:val="Heading2"/>
        <w:spacing w:before="320" w:after="120"/>
      </w:pPr>
      <w:r>
        <w:rPr>
          <w:rFonts w:ascii="Arial" w:cs="Arial" w:eastAsia="Arial" w:hAnsi="Arial"/>
          <w:b/>
          <w:bCs/>
          <w:color w:val="0077B6"/>
          <w:sz w:val="26"/>
          <w:szCs w:val="26"/>
        </w:rPr>
        <w:t xml:space="preserve">For SMEs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before="0" w:after="60"/>
            </w:pPr>
            <w:r>
              <w:rPr>
                <w:rFonts w:ascii="Arial" w:cs="Arial" w:eastAsia="Arial" w:hAnsi="Arial"/>
                <w:b/>
                <w:bCs/>
                <w:color w:val="0077B6"/>
                <w:sz w:val="22"/>
                <w:szCs w:val="22"/>
              </w:rPr>
              <w:t xml:space="preserve">Core message:</w:t>
            </w:r>
          </w:p>
          <w:p>
            <w:pPr>
              <w:spacing w:before="0" w:after="0"/>
            </w:pPr>
            <w:r>
              <w:rPr>
                <w:rFonts w:ascii="Arial" w:cs="Arial" w:eastAsia="Arial" w:hAnsi="Arial"/>
                <w:i/>
                <w:iCs/>
                <w:color w:val="1A1A2E"/>
                <w:sz w:val="22"/>
                <w:szCs w:val="22"/>
              </w:rPr>
              <w:t xml:space="preserve">Stop overpaying for card payments. Payhorizon finds you the right acquirer, the right rates, and the right hardware — without the sales pitch.</w:t>
            </w:r>
          </w:p>
        </w:tc>
      </w:tr>
    </w:tbl>
    <w:p>
      <w:pPr>
        <w:spacing w:before="100" w:after="0"/>
      </w:pPr>
    </w:p>
    <w:p>
      <w:pPr>
        <w:spacing w:before="240" w:after="80"/>
      </w:pPr>
      <w:r>
        <w:rPr>
          <w:rFonts w:ascii="Arial" w:cs="Arial" w:eastAsia="Arial" w:hAnsi="Arial"/>
          <w:b/>
          <w:bCs/>
          <w:color w:val="1B2B4B"/>
          <w:sz w:val="22"/>
          <w:szCs w:val="22"/>
        </w:rPr>
        <w:t xml:space="preserve">Supporting proof points:</w:t>
      </w:r>
    </w:p>
    <w:p>
      <w:pPr>
        <w:pStyle w:val="ListParagraph"/>
        <w:numPr>
          <w:ilvl w:val="0"/>
          <w:numId w:val="2"/>
        </w:numPr>
        <w:spacing w:before="40" w:after="40"/>
      </w:pPr>
      <w:r>
        <w:rPr>
          <w:rFonts w:ascii="Arial" w:cs="Arial" w:eastAsia="Arial" w:hAnsi="Arial"/>
          <w:color w:val="1A1A2E"/>
          <w:sz w:val="22"/>
          <w:szCs w:val="22"/>
        </w:rPr>
        <w:t xml:space="preserve">IC++ pricing — you see the exact interchange cost and our margin separately. No hidden blended rates.</w:t>
      </w:r>
    </w:p>
    <w:p>
      <w:pPr>
        <w:pStyle w:val="ListParagraph"/>
        <w:numPr>
          <w:ilvl w:val="0"/>
          <w:numId w:val="2"/>
        </w:numPr>
        <w:spacing w:before="40" w:after="40"/>
      </w:pPr>
      <w:r>
        <w:rPr>
          <w:rFonts w:ascii="Arial" w:cs="Arial" w:eastAsia="Arial" w:hAnsi="Arial"/>
          <w:color w:val="1A1A2E"/>
          <w:sz w:val="22"/>
          <w:szCs w:val="22"/>
        </w:rPr>
        <w:t xml:space="preserve">Multiple acquirers — we are not locked into one bank. We pick the best fit for your sector and volume.</w:t>
      </w:r>
    </w:p>
    <w:p>
      <w:pPr>
        <w:pStyle w:val="ListParagraph"/>
        <w:numPr>
          <w:ilvl w:val="0"/>
          <w:numId w:val="2"/>
        </w:numPr>
        <w:spacing w:before="40" w:after="40"/>
      </w:pPr>
      <w:r>
        <w:rPr>
          <w:rFonts w:ascii="Arial" w:cs="Arial" w:eastAsia="Arial" w:hAnsi="Arial"/>
          <w:color w:val="1A1A2E"/>
          <w:sz w:val="22"/>
          <w:szCs w:val="22"/>
        </w:rPr>
        <w:t xml:space="preserve">Fast onboarding — most merchants are live within days, not weeks.</w:t>
      </w:r>
    </w:p>
    <w:p>
      <w:pPr>
        <w:pStyle w:val="ListParagraph"/>
        <w:numPr>
          <w:ilvl w:val="0"/>
          <w:numId w:val="2"/>
        </w:numPr>
        <w:spacing w:before="40" w:after="40"/>
      </w:pPr>
      <w:r>
        <w:rPr>
          <w:rFonts w:ascii="Arial" w:cs="Arial" w:eastAsia="Arial" w:hAnsi="Arial"/>
          <w:color w:val="1A1A2E"/>
          <w:sz w:val="22"/>
          <w:szCs w:val="22"/>
        </w:rPr>
        <w:t xml:space="preserve">Merchant Cash Advance — up to £1,000,000 in business funding based on your card turnover. No fixed repayments.</w:t>
      </w:r>
    </w:p>
    <w:p>
      <w:pPr>
        <w:pStyle w:val="ListParagraph"/>
        <w:numPr>
          <w:ilvl w:val="0"/>
          <w:numId w:val="2"/>
        </w:numPr>
        <w:spacing w:before="40" w:after="40"/>
      </w:pPr>
      <w:r>
        <w:rPr>
          <w:rFonts w:ascii="Arial" w:cs="Arial" w:eastAsia="Arial" w:hAnsi="Arial"/>
          <w:color w:val="1A1A2E"/>
          <w:sz w:val="22"/>
          <w:szCs w:val="22"/>
        </w:rPr>
        <w:t xml:space="preserve">BOXX — our smart payment app for flexible in-person and remote payments, with full reporting built in.</w:t>
      </w:r>
    </w:p>
    <w:p>
      <w:pPr>
        <w:spacing w:before="160" w:after="0"/>
      </w:pPr>
    </w:p>
    <w:p>
      <w:pPr>
        <w:pStyle w:val="Heading2"/>
        <w:spacing w:before="320" w:after="120"/>
      </w:pPr>
      <w:r>
        <w:rPr>
          <w:rFonts w:ascii="Arial" w:cs="Arial" w:eastAsia="Arial" w:hAnsi="Arial"/>
          <w:b/>
          <w:bCs/>
          <w:color w:val="0077B6"/>
          <w:sz w:val="26"/>
          <w:szCs w:val="26"/>
        </w:rPr>
        <w:t xml:space="preserve">For High-Volume Institutional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before="0" w:after="60"/>
            </w:pPr>
            <w:r>
              <w:rPr>
                <w:rFonts w:ascii="Arial" w:cs="Arial" w:eastAsia="Arial" w:hAnsi="Arial"/>
                <w:b/>
                <w:bCs/>
                <w:color w:val="0077B6"/>
                <w:sz w:val="22"/>
                <w:szCs w:val="22"/>
              </w:rPr>
              <w:t xml:space="preserve">Core message:</w:t>
            </w:r>
          </w:p>
          <w:p>
            <w:pPr>
              <w:spacing w:before="0" w:after="0"/>
            </w:pPr>
            <w:r>
              <w:rPr>
                <w:rFonts w:ascii="Arial" w:cs="Arial" w:eastAsia="Arial" w:hAnsi="Arial"/>
                <w:i/>
                <w:iCs/>
                <w:color w:val="1A1A2E"/>
                <w:sz w:val="22"/>
                <w:szCs w:val="22"/>
              </w:rPr>
              <w:t xml:space="preserve">Your payment infrastructure should work as hard as your organisation does. Payhorizon delivers enterprise-grade acquiring with the flexibility and accountability that large operations demand.</w:t>
            </w:r>
          </w:p>
        </w:tc>
      </w:tr>
    </w:tbl>
    <w:p>
      <w:pPr>
        <w:spacing w:before="100" w:after="0"/>
      </w:pPr>
    </w:p>
    <w:p>
      <w:pPr>
        <w:spacing w:before="240" w:after="80"/>
      </w:pPr>
      <w:r>
        <w:rPr>
          <w:rFonts w:ascii="Arial" w:cs="Arial" w:eastAsia="Arial" w:hAnsi="Arial"/>
          <w:b/>
          <w:bCs/>
          <w:color w:val="1B2B4B"/>
          <w:sz w:val="22"/>
          <w:szCs w:val="22"/>
        </w:rPr>
        <w:t xml:space="preserve">Supporting proof points:</w:t>
      </w:r>
    </w:p>
    <w:p>
      <w:pPr>
        <w:pStyle w:val="ListParagraph"/>
        <w:numPr>
          <w:ilvl w:val="0"/>
          <w:numId w:val="2"/>
        </w:numPr>
        <w:spacing w:before="40" w:after="40"/>
      </w:pPr>
      <w:r>
        <w:rPr>
          <w:rFonts w:ascii="Arial" w:cs="Arial" w:eastAsia="Arial" w:hAnsi="Arial"/>
          <w:color w:val="1A1A2E"/>
          <w:sz w:val="22"/>
          <w:szCs w:val="22"/>
        </w:rPr>
        <w:t xml:space="preserve">Volume-appropriate pricing — at scale, IC++ pricing delivers material cost savings over blended rates.</w:t>
      </w:r>
    </w:p>
    <w:p>
      <w:pPr>
        <w:pStyle w:val="ListParagraph"/>
        <w:numPr>
          <w:ilvl w:val="0"/>
          <w:numId w:val="2"/>
        </w:numPr>
        <w:spacing w:before="40" w:after="40"/>
      </w:pPr>
      <w:r>
        <w:rPr>
          <w:rFonts w:ascii="Arial" w:cs="Arial" w:eastAsia="Arial" w:hAnsi="Arial"/>
          <w:color w:val="1A1A2E"/>
          <w:sz w:val="22"/>
          <w:szCs w:val="22"/>
        </w:rPr>
        <w:t xml:space="preserve">Multi-channel capability — card present, CNP, MOTO, Pay by Link, e-commerce, and virtual terminal from one partner.</w:t>
      </w:r>
    </w:p>
    <w:p>
      <w:pPr>
        <w:pStyle w:val="ListParagraph"/>
        <w:numPr>
          <w:ilvl w:val="0"/>
          <w:numId w:val="2"/>
        </w:numPr>
        <w:spacing w:before="40" w:after="40"/>
      </w:pPr>
      <w:r>
        <w:rPr>
          <w:rFonts w:ascii="Arial" w:cs="Arial" w:eastAsia="Arial" w:hAnsi="Arial"/>
          <w:color w:val="1A1A2E"/>
          <w:sz w:val="22"/>
          <w:szCs w:val="22"/>
        </w:rPr>
        <w:t xml:space="preserve">Sector experience — we understand the compliance, settlement, and reporting needs of public sector and regulated industries.</w:t>
      </w:r>
    </w:p>
    <w:p>
      <w:pPr>
        <w:pStyle w:val="ListParagraph"/>
        <w:numPr>
          <w:ilvl w:val="0"/>
          <w:numId w:val="2"/>
        </w:numPr>
        <w:spacing w:before="40" w:after="40"/>
      </w:pPr>
      <w:r>
        <w:rPr>
          <w:rFonts w:ascii="Arial" w:cs="Arial" w:eastAsia="Arial" w:hAnsi="Arial"/>
          <w:color w:val="1A1A2E"/>
          <w:sz w:val="22"/>
          <w:szCs w:val="22"/>
        </w:rPr>
        <w:t xml:space="preserve">Bespoke onboarding — we manage the application, KYC, and acquirer relationship on your behalf.</w:t>
      </w:r>
    </w:p>
    <w:p>
      <w:pPr>
        <w:pStyle w:val="ListParagraph"/>
        <w:numPr>
          <w:ilvl w:val="0"/>
          <w:numId w:val="2"/>
        </w:numPr>
        <w:spacing w:before="40" w:after="40"/>
      </w:pPr>
      <w:r>
        <w:rPr>
          <w:rFonts w:ascii="Arial" w:cs="Arial" w:eastAsia="Arial" w:hAnsi="Arial"/>
          <w:color w:val="1A1A2E"/>
          <w:sz w:val="22"/>
          <w:szCs w:val="22"/>
        </w:rPr>
        <w:t xml:space="preserve">Dedicated account management — a named contact, not a call centre.</w:t>
      </w:r>
    </w:p>
    <w:p>
      <w:pPr>
        <w:spacing w:before="120" w:after="0"/>
      </w:pPr>
    </w:p>
    <w:p>
      <w:pPr>
        <w:pStyle w:val="Heading1"/>
        <w:spacing w:before="400" w:after="160"/>
      </w:pPr>
      <w:r>
        <w:rPr>
          <w:rFonts w:ascii="Arial" w:cs="Arial" w:eastAsia="Arial" w:hAnsi="Arial"/>
          <w:b/>
          <w:bCs/>
          <w:color w:val="1B2B4B"/>
          <w:sz w:val="36"/>
          <w:szCs w:val="36"/>
        </w:rPr>
        <w:t xml:space="preserve">6. Tone of Voice</w:t>
      </w:r>
    </w:p>
    <w:p>
      <w:pPr>
        <w:pStyle w:val="Heading2"/>
        <w:spacing w:before="320" w:after="120"/>
      </w:pPr>
      <w:r>
        <w:rPr>
          <w:rFonts w:ascii="Arial" w:cs="Arial" w:eastAsia="Arial" w:hAnsi="Arial"/>
          <w:b/>
          <w:bCs/>
          <w:color w:val="0077B6"/>
          <w:sz w:val="26"/>
          <w:szCs w:val="26"/>
        </w:rPr>
        <w:t xml:space="preserve">The Four Principles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none" w:color="FFFFFF" w:sz="0"/>
              <w:left w:val="none" w:color="FFFFFF" w:sz="0"/>
              <w:bottom w:val="none" w:color="FFFFFF" w:sz="0"/>
              <w:right w:val="none" w:color="FFFFFF" w:sz="0"/>
            </w:tcBorders>
            <w:shd w:fill="1B2B4B" w:val="clear"/>
            <w:tcMar>
              <w:top w:type="dxa" w:w="100"/>
              <w:left w:type="dxa" w:w="160"/>
              <w:bottom w:type="dxa" w:w="100"/>
              <w:right w:type="dxa" w:w="120"/>
            </w:tcMar>
          </w:tcPr>
          <w:p>
            <w:r>
              <w:rPr>
                <w:rFonts w:ascii="Arial" w:cs="Arial" w:eastAsia="Arial" w:hAnsi="Arial"/>
                <w:b/>
                <w:bCs/>
                <w:color w:val="FFFFFF"/>
                <w:sz w:val="20"/>
                <w:szCs w:val="20"/>
              </w:rPr>
              <w:t xml:space="preserve">Friendly &amp; approachable</w:t>
            </w:r>
          </w:p>
        </w:tc>
        <w:tc>
          <w:tcPr>
            <w:tcW w:type="dxa" w:w="6770"/>
            <w:tcBorders>
              <w:top w:val="none" w:color="FFFFFF" w:sz="0"/>
              <w:left w:val="none" w:color="FFFFFF" w:sz="0"/>
              <w:bottom w:val="none" w:color="FFFFFF" w:sz="0"/>
              <w:right w:val="none" w:color="FFFFFF" w:sz="0"/>
            </w:tcBorders>
            <w:shd w:fill="EEF4FB" w:val="clear"/>
            <w:tcMar>
              <w:top w:type="dxa" w:w="100"/>
              <w:left w:type="dxa" w:w="120"/>
              <w:bottom w:type="dxa" w:w="100"/>
              <w:right w:type="dxa" w:w="160"/>
            </w:tcMar>
          </w:tcPr>
          <w:p>
            <w:r>
              <w:rPr>
                <w:rFonts w:ascii="Arial" w:cs="Arial" w:eastAsia="Arial" w:hAnsi="Arial"/>
                <w:color w:val="1A1A2E"/>
                <w:sz w:val="20"/>
                <w:szCs w:val="20"/>
              </w:rPr>
              <w:t xml:space="preserve">We talk to merchants like people, not like a bank. We use plain language, we are warm and direct, and we make it easy for anyone to understand their options — regardless of how much they know about payments.</w:t>
            </w:r>
          </w:p>
        </w:tc>
      </w:tr>
      <w:tr>
        <w:tc>
          <w:tcPr>
            <w:tcW w:type="dxa" w:w="2256"/>
            <w:tcBorders>
              <w:top w:val="none" w:color="FFFFFF" w:sz="0"/>
              <w:left w:val="none" w:color="FFFFFF" w:sz="0"/>
              <w:bottom w:val="none" w:color="FFFFFF" w:sz="0"/>
              <w:right w:val="none" w:color="FFFFFF" w:sz="0"/>
            </w:tcBorders>
            <w:shd w:fill="D0E4F5" w:val="clear"/>
            <w:tcMar>
              <w:top w:type="dxa" w:w="100"/>
              <w:left w:type="dxa" w:w="160"/>
              <w:bottom w:type="dxa" w:w="100"/>
              <w:right w:type="dxa" w:w="120"/>
            </w:tcMar>
          </w:tcPr>
          <w:p>
            <w:r>
              <w:rPr>
                <w:rFonts w:ascii="Arial" w:cs="Arial" w:eastAsia="Arial" w:hAnsi="Arial"/>
                <w:b/>
                <w:bCs/>
                <w:color w:val="1B2B4B"/>
                <w:sz w:val="20"/>
                <w:szCs w:val="20"/>
              </w:rPr>
              <w:t xml:space="preserve">Expert &amp; consultative</w:t>
            </w:r>
          </w:p>
        </w:tc>
        <w:tc>
          <w:tcPr>
            <w:tcW w:type="dxa" w:w="6770"/>
            <w:tcBorders>
              <w:top w:val="none" w:color="FFFFFF" w:sz="0"/>
              <w:left w:val="none" w:color="FFFFFF" w:sz="0"/>
              <w:bottom w:val="none" w:color="FFFFFF" w:sz="0"/>
              <w:right w:val="none" w:color="FFFFFF" w:sz="0"/>
            </w:tcBorders>
            <w:shd w:fill="FFFFFF" w:val="clear"/>
            <w:tcMar>
              <w:top w:type="dxa" w:w="100"/>
              <w:left w:type="dxa" w:w="120"/>
              <w:bottom w:type="dxa" w:w="100"/>
              <w:right w:type="dxa" w:w="160"/>
            </w:tcMar>
          </w:tcPr>
          <w:p>
            <w:r>
              <w:rPr>
                <w:rFonts w:ascii="Arial" w:cs="Arial" w:eastAsia="Arial" w:hAnsi="Arial"/>
                <w:color w:val="1A1A2E"/>
                <w:sz w:val="20"/>
                <w:szCs w:val="20"/>
              </w:rPr>
              <w:t xml:space="preserve">We know payments deeply and we use that knowledge to guide, not to sell. We ask the right questions, understand the business first, and recommend from there. Merchants should feel like they have a trusted adviser, not a rep.</w:t>
            </w:r>
          </w:p>
        </w:tc>
      </w:tr>
      <w:tr>
        <w:tc>
          <w:tcPr>
            <w:tcW w:type="dxa" w:w="2256"/>
            <w:tcBorders>
              <w:top w:val="none" w:color="FFFFFF" w:sz="0"/>
              <w:left w:val="none" w:color="FFFFFF" w:sz="0"/>
              <w:bottom w:val="none" w:color="FFFFFF" w:sz="0"/>
              <w:right w:val="none" w:color="FFFFFF" w:sz="0"/>
            </w:tcBorders>
            <w:shd w:fill="1B2B4B" w:val="clear"/>
            <w:tcMar>
              <w:top w:type="dxa" w:w="100"/>
              <w:left w:type="dxa" w:w="160"/>
              <w:bottom w:type="dxa" w:w="100"/>
              <w:right w:type="dxa" w:w="120"/>
            </w:tcMar>
          </w:tcPr>
          <w:p>
            <w:r>
              <w:rPr>
                <w:rFonts w:ascii="Arial" w:cs="Arial" w:eastAsia="Arial" w:hAnsi="Arial"/>
                <w:b/>
                <w:bCs/>
                <w:color w:val="FFFFFF"/>
                <w:sz w:val="20"/>
                <w:szCs w:val="20"/>
              </w:rPr>
              <w:t xml:space="preserve">Bold &amp; disruptive</w:t>
            </w:r>
          </w:p>
        </w:tc>
        <w:tc>
          <w:tcPr>
            <w:tcW w:type="dxa" w:w="6770"/>
            <w:tcBorders>
              <w:top w:val="none" w:color="FFFFFF" w:sz="0"/>
              <w:left w:val="none" w:color="FFFFFF" w:sz="0"/>
              <w:bottom w:val="none" w:color="FFFFFF" w:sz="0"/>
              <w:right w:val="none" w:color="FFFFFF" w:sz="0"/>
            </w:tcBorders>
            <w:shd w:fill="EEF4FB" w:val="clear"/>
            <w:tcMar>
              <w:top w:type="dxa" w:w="100"/>
              <w:left w:type="dxa" w:w="120"/>
              <w:bottom w:type="dxa" w:w="100"/>
              <w:right w:type="dxa" w:w="160"/>
            </w:tcMar>
          </w:tcPr>
          <w:p>
            <w:r>
              <w:rPr>
                <w:rFonts w:ascii="Arial" w:cs="Arial" w:eastAsia="Arial" w:hAnsi="Arial"/>
                <w:color w:val="1A1A2E"/>
                <w:sz w:val="20"/>
                <w:szCs w:val="20"/>
              </w:rPr>
              <w:t xml:space="preserve">We are not shy about the fact that the current market is broken and that we are here to fix it. We say it plainly. We back it up with transparency, better pricing, and independence. We do not whisper our difference — we lead with it.</w:t>
            </w:r>
          </w:p>
        </w:tc>
      </w:tr>
      <w:tr>
        <w:tc>
          <w:tcPr>
            <w:tcW w:type="dxa" w:w="2256"/>
            <w:tcBorders>
              <w:top w:val="none" w:color="FFFFFF" w:sz="0"/>
              <w:left w:val="none" w:color="FFFFFF" w:sz="0"/>
              <w:bottom w:val="none" w:color="FFFFFF" w:sz="0"/>
              <w:right w:val="none" w:color="FFFFFF" w:sz="0"/>
            </w:tcBorders>
            <w:shd w:fill="D0E4F5" w:val="clear"/>
            <w:tcMar>
              <w:top w:type="dxa" w:w="100"/>
              <w:left w:type="dxa" w:w="160"/>
              <w:bottom w:type="dxa" w:w="100"/>
              <w:right w:type="dxa" w:w="120"/>
            </w:tcMar>
          </w:tcPr>
          <w:p>
            <w:r>
              <w:rPr>
                <w:rFonts w:ascii="Arial" w:cs="Arial" w:eastAsia="Arial" w:hAnsi="Arial"/>
                <w:b/>
                <w:bCs/>
                <w:color w:val="1B2B4B"/>
                <w:sz w:val="20"/>
                <w:szCs w:val="20"/>
              </w:rPr>
              <w:t xml:space="preserve">Professional, not corporate</w:t>
            </w:r>
          </w:p>
        </w:tc>
        <w:tc>
          <w:tcPr>
            <w:tcW w:type="dxa" w:w="6770"/>
            <w:tcBorders>
              <w:top w:val="none" w:color="FFFFFF" w:sz="0"/>
              <w:left w:val="none" w:color="FFFFFF" w:sz="0"/>
              <w:bottom w:val="none" w:color="FFFFFF" w:sz="0"/>
              <w:right w:val="none" w:color="FFFFFF" w:sz="0"/>
            </w:tcBorders>
            <w:shd w:fill="FFFFFF" w:val="clear"/>
            <w:tcMar>
              <w:top w:type="dxa" w:w="100"/>
              <w:left w:type="dxa" w:w="120"/>
              <w:bottom w:type="dxa" w:w="100"/>
              <w:right w:type="dxa" w:w="160"/>
            </w:tcMar>
          </w:tcPr>
          <w:p>
            <w:r>
              <w:rPr>
                <w:rFonts w:ascii="Arial" w:cs="Arial" w:eastAsia="Arial" w:hAnsi="Arial"/>
                <w:color w:val="1A1A2E"/>
                <w:sz w:val="20"/>
                <w:szCs w:val="20"/>
              </w:rPr>
              <w:t xml:space="preserve">We are serious about payments but we do not hide behind jargon or bureaucracy. We write like a knowledgeable colleague, not a compliance department. We are the last resort only on formality — it should never feel stiff.</w:t>
            </w:r>
          </w:p>
        </w:tc>
      </w:tr>
    </w:tbl>
    <w:p>
      <w:pPr>
        <w:spacing w:before="200" w:after="0"/>
      </w:pPr>
    </w:p>
    <w:p>
      <w:pPr>
        <w:pStyle w:val="Heading2"/>
        <w:spacing w:before="320" w:after="120"/>
      </w:pPr>
      <w:r>
        <w:rPr>
          <w:rFonts w:ascii="Arial" w:cs="Arial" w:eastAsia="Arial" w:hAnsi="Arial"/>
          <w:b/>
          <w:bCs/>
          <w:color w:val="0077B6"/>
          <w:sz w:val="26"/>
          <w:szCs w:val="26"/>
        </w:rPr>
        <w:t xml:space="preserve">What We Sound Like — Examples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4332" w:val="clear"/>
            <w:tcMar>
              <w:top w:type="dxa" w:w="80"/>
              <w:left w:type="dxa" w:w="160"/>
              <w:bottom w:type="dxa" w:w="80"/>
              <w:right w:type="dxa" w:w="80"/>
            </w:tcMar>
          </w:tcPr>
          <w:p>
            <w:r>
              <w:rPr>
                <w:rFonts w:ascii="Arial" w:cs="Arial" w:eastAsia="Arial" w:hAnsi="Arial"/>
                <w:b/>
                <w:bCs/>
                <w:color w:val="FFFFFF"/>
                <w:sz w:val="20"/>
                <w:szCs w:val="20"/>
              </w:rPr>
              <w:t xml:space="preserve">✓  ON-BRAND</w:t>
            </w:r>
          </w:p>
        </w:tc>
        <w:tc>
          <w:tcPr>
            <w:tcW w:type="dxa" w:w="4413"/>
            <w:tcBorders>
              <w:top w:val="none" w:color="FFFFFF" w:sz="0"/>
              <w:left w:val="none" w:color="FFFFFF" w:sz="0"/>
              <w:bottom w:val="none" w:color="FFFFFF" w:sz="0"/>
              <w:right w:val="none" w:color="FFFFFF" w:sz="0"/>
            </w:tcBorders>
            <w:shd w:fill="7B1D1D" w:val="clear"/>
            <w:tcMar>
              <w:top w:type="dxa" w:w="80"/>
              <w:left w:type="dxa" w:w="80"/>
              <w:bottom w:type="dxa" w:w="80"/>
              <w:right w:type="dxa" w:w="160"/>
            </w:tcMar>
          </w:tcPr>
          <w:p>
            <w:r>
              <w:rPr>
                <w:rFonts w:ascii="Arial" w:cs="Arial" w:eastAsia="Arial" w:hAnsi="Arial"/>
                <w:b/>
                <w:bCs/>
                <w:color w:val="FFFFFF"/>
                <w:sz w:val="20"/>
                <w:szCs w:val="20"/>
              </w:rPr>
              <w:t xml:space="preserve">✗  OFF-BRAND</w:t>
            </w:r>
          </w:p>
        </w:tc>
      </w:tr>
      <w:tr>
        <w:tc>
          <w:tcPr>
            <w:tcW w:type="dxa" w:w="4413"/>
            <w:tcBorders>
              <w:top w:val="none" w:color="FFFFFF" w:sz="0"/>
              <w:left w:val="none" w:color="FFFFFF" w:sz="0"/>
              <w:bottom w:val="none" w:color="FFFFFF" w:sz="0"/>
              <w:right w:val="none" w:color="FFFFFF" w:sz="0"/>
            </w:tcBorders>
            <w:shd w:fill="D8F3DC" w:val="clear"/>
            <w:tcMar>
              <w:top w:type="dxa" w:w="80"/>
              <w:left w:type="dxa" w:w="160"/>
              <w:bottom w:type="dxa" w:w="80"/>
              <w:right w:type="dxa" w:w="80"/>
            </w:tcMar>
          </w:tcPr>
          <w:p>
            <w:r>
              <w:rPr>
                <w:rFonts w:ascii="Arial" w:cs="Arial" w:eastAsia="Arial" w:hAnsi="Arial"/>
                <w:i/>
                <w:iCs/>
                <w:color w:val="1A1A2E"/>
                <w:sz w:val="20"/>
                <w:szCs w:val="20"/>
              </w:rPr>
              <w:t xml:space="preserve">"We get it — payments are confusing. We're here to make it simple."</w:t>
            </w:r>
          </w:p>
        </w:tc>
        <w:tc>
          <w:tcPr>
            <w:tcW w:type="dxa" w:w="4413"/>
            <w:tcBorders>
              <w:top w:val="none" w:color="FFFFFF" w:sz="0"/>
              <w:left w:val="none" w:color="FFFFFF" w:sz="0"/>
              <w:bottom w:val="none" w:color="FFFFFF" w:sz="0"/>
              <w:right w:val="none" w:color="FFFFFF" w:sz="0"/>
            </w:tcBorders>
            <w:shd w:fill="D8F3DC" w:val="clear"/>
            <w:tcMar>
              <w:top w:type="dxa" w:w="80"/>
              <w:left w:type="dxa" w:w="80"/>
              <w:bottom w:type="dxa" w:w="80"/>
              <w:right w:type="dxa" w:w="160"/>
            </w:tcMar>
          </w:tcPr>
          <w:p>
            <w:r>
              <w:rPr>
                <w:rFonts w:ascii="Arial" w:cs="Arial" w:eastAsia="Arial" w:hAnsi="Arial"/>
                <w:i/>
                <w:iCs/>
                <w:color w:val="1A1A2E"/>
                <w:sz w:val="20"/>
                <w:szCs w:val="20"/>
              </w:rPr>
              <w:t xml:space="preserve">"Our cutting-edge technology delivers synergistic payment solutions."</w:t>
            </w:r>
          </w:p>
        </w:tc>
      </w:tr>
      <w:tr>
        <w:tc>
          <w:tcPr>
            <w:tcW w:type="dxa" w:w="4413"/>
            <w:tcBorders>
              <w:top w:val="none" w:color="FFFFFF" w:sz="0"/>
              <w:left w:val="none" w:color="FFFFFF" w:sz="0"/>
              <w:bottom w:val="none" w:color="FFFFFF" w:sz="0"/>
              <w:right w:val="none" w:color="FFFFFF" w:sz="0"/>
            </w:tcBorders>
            <w:shd w:fill="F0FFF4" w:val="clear"/>
            <w:tcMar>
              <w:top w:type="dxa" w:w="80"/>
              <w:left w:type="dxa" w:w="160"/>
              <w:bottom w:type="dxa" w:w="80"/>
              <w:right w:type="dxa" w:w="80"/>
            </w:tcMar>
          </w:tcPr>
          <w:p>
            <w:r>
              <w:rPr>
                <w:rFonts w:ascii="Arial" w:cs="Arial" w:eastAsia="Arial" w:hAnsi="Arial"/>
                <w:i/>
                <w:iCs/>
                <w:color w:val="1A1A2E"/>
                <w:sz w:val="20"/>
                <w:szCs w:val="20"/>
              </w:rPr>
              <w:t xml:space="preserve">"Most businesses overpay for card payments. We're here to fix that."</w:t>
            </w:r>
          </w:p>
        </w:tc>
        <w:tc>
          <w:tcPr>
            <w:tcW w:type="dxa" w:w="4413"/>
            <w:tcBorders>
              <w:top w:val="none" w:color="FFFFFF" w:sz="0"/>
              <w:left w:val="none" w:color="FFFFFF" w:sz="0"/>
              <w:bottom w:val="none" w:color="FFFFFF" w:sz="0"/>
              <w:right w:val="none" w:color="FFFFFF" w:sz="0"/>
            </w:tcBorders>
            <w:shd w:fill="F0FFF4" w:val="clear"/>
            <w:tcMar>
              <w:top w:type="dxa" w:w="80"/>
              <w:left w:type="dxa" w:w="80"/>
              <w:bottom w:type="dxa" w:w="80"/>
              <w:right w:type="dxa" w:w="160"/>
            </w:tcMar>
          </w:tcPr>
          <w:p>
            <w:r>
              <w:rPr>
                <w:rFonts w:ascii="Arial" w:cs="Arial" w:eastAsia="Arial" w:hAnsi="Arial"/>
                <w:i/>
                <w:iCs/>
                <w:color w:val="1A1A2E"/>
                <w:sz w:val="20"/>
                <w:szCs w:val="20"/>
              </w:rPr>
              <w:t xml:space="preserve">"We've partnered with the UK's leading banks to bring you the best deals!"</w:t>
            </w:r>
          </w:p>
        </w:tc>
      </w:tr>
      <w:tr>
        <w:tc>
          <w:tcPr>
            <w:tcW w:type="dxa" w:w="4413"/>
            <w:tcBorders>
              <w:top w:val="none" w:color="FFFFFF" w:sz="0"/>
              <w:left w:val="none" w:color="FFFFFF" w:sz="0"/>
              <w:bottom w:val="none" w:color="FFFFFF" w:sz="0"/>
              <w:right w:val="none" w:color="FFFFFF" w:sz="0"/>
            </w:tcBorders>
            <w:shd w:fill="D8F3DC" w:val="clear"/>
            <w:tcMar>
              <w:top w:type="dxa" w:w="80"/>
              <w:left w:type="dxa" w:w="160"/>
              <w:bottom w:type="dxa" w:w="80"/>
              <w:right w:type="dxa" w:w="80"/>
            </w:tcMar>
          </w:tcPr>
          <w:p>
            <w:r>
              <w:rPr>
                <w:rFonts w:ascii="Arial" w:cs="Arial" w:eastAsia="Arial" w:hAnsi="Arial"/>
                <w:i/>
                <w:iCs/>
                <w:color w:val="1A1A2E"/>
                <w:sz w:val="20"/>
                <w:szCs w:val="20"/>
              </w:rPr>
              <w:t xml:space="preserve">"Tell us about your business and we'll show you exactly what you'd pay — and why."</w:t>
            </w:r>
          </w:p>
        </w:tc>
        <w:tc>
          <w:tcPr>
            <w:tcW w:type="dxa" w:w="4413"/>
            <w:tcBorders>
              <w:top w:val="none" w:color="FFFFFF" w:sz="0"/>
              <w:left w:val="none" w:color="FFFFFF" w:sz="0"/>
              <w:bottom w:val="none" w:color="FFFFFF" w:sz="0"/>
              <w:right w:val="none" w:color="FFFFFF" w:sz="0"/>
            </w:tcBorders>
            <w:shd w:fill="D8F3DC" w:val="clear"/>
            <w:tcMar>
              <w:top w:type="dxa" w:w="80"/>
              <w:left w:type="dxa" w:w="80"/>
              <w:bottom w:type="dxa" w:w="80"/>
              <w:right w:type="dxa" w:w="160"/>
            </w:tcMar>
          </w:tcPr>
          <w:p>
            <w:r>
              <w:rPr>
                <w:rFonts w:ascii="Arial" w:cs="Arial" w:eastAsia="Arial" w:hAnsi="Arial"/>
                <w:i/>
                <w:iCs/>
                <w:color w:val="1A1A2E"/>
                <w:sz w:val="20"/>
                <w:szCs w:val="20"/>
              </w:rPr>
              <w:t xml:space="preserve">"Going live is super easy and takes just minutes — sign up today!"</w:t>
            </w:r>
          </w:p>
        </w:tc>
      </w:tr>
      <w:tr>
        <w:tc>
          <w:tcPr>
            <w:tcW w:type="dxa" w:w="4413"/>
            <w:tcBorders>
              <w:top w:val="none" w:color="FFFFFF" w:sz="0"/>
              <w:left w:val="none" w:color="FFFFFF" w:sz="0"/>
              <w:bottom w:val="none" w:color="FFFFFF" w:sz="0"/>
              <w:right w:val="none" w:color="FFFFFF" w:sz="0"/>
            </w:tcBorders>
            <w:shd w:fill="F0FFF4" w:val="clear"/>
            <w:tcMar>
              <w:top w:type="dxa" w:w="80"/>
              <w:left w:type="dxa" w:w="160"/>
              <w:bottom w:type="dxa" w:w="80"/>
              <w:right w:type="dxa" w:w="80"/>
            </w:tcMar>
          </w:tcPr>
          <w:p>
            <w:r>
              <w:rPr>
                <w:rFonts w:ascii="Arial" w:cs="Arial" w:eastAsia="Arial" w:hAnsi="Arial"/>
                <w:i/>
                <w:iCs/>
                <w:color w:val="1A1A2E"/>
                <w:sz w:val="20"/>
                <w:szCs w:val="20"/>
              </w:rPr>
              <w:t xml:space="preserve">"At your volume, IC++ pricing saves real money. Let us show you the numbers."</w:t>
            </w:r>
          </w:p>
        </w:tc>
        <w:tc>
          <w:tcPr>
            <w:tcW w:type="dxa" w:w="4413"/>
            <w:tcBorders>
              <w:top w:val="none" w:color="FFFFFF" w:sz="0"/>
              <w:left w:val="none" w:color="FFFFFF" w:sz="0"/>
              <w:bottom w:val="none" w:color="FFFFFF" w:sz="0"/>
              <w:right w:val="none" w:color="FFFFFF" w:sz="0"/>
            </w:tcBorders>
            <w:shd w:fill="F0FFF4" w:val="clear"/>
            <w:tcMar>
              <w:top w:type="dxa" w:w="80"/>
              <w:left w:type="dxa" w:w="80"/>
              <w:bottom w:type="dxa" w:w="80"/>
              <w:right w:type="dxa" w:w="160"/>
            </w:tcMar>
          </w:tcPr>
          <w:p>
            <w:r>
              <w:rPr>
                <w:rFonts w:ascii="Arial" w:cs="Arial" w:eastAsia="Arial" w:hAnsi="Arial"/>
                <w:i/>
                <w:iCs/>
                <w:color w:val="1A1A2E"/>
                <w:sz w:val="20"/>
                <w:szCs w:val="20"/>
              </w:rPr>
              <w:t xml:space="preserve">"We're passionate about helping businesses thrive through innovative payment ecosystems."</w:t>
            </w:r>
          </w:p>
        </w:tc>
      </w:tr>
    </w:tbl>
    <w:p>
      <w:pPr>
        <w:spacing w:before="120" w:after="0"/>
      </w:pPr>
    </w:p>
    <w:p>
      <w:pPr>
        <w:pStyle w:val="Heading1"/>
        <w:spacing w:before="400" w:after="160"/>
      </w:pPr>
      <w:r>
        <w:rPr>
          <w:rFonts w:ascii="Arial" w:cs="Arial" w:eastAsia="Arial" w:hAnsi="Arial"/>
          <w:b/>
          <w:bCs/>
          <w:color w:val="1B2B4B"/>
          <w:sz w:val="36"/>
          <w:szCs w:val="36"/>
        </w:rPr>
        <w:t xml:space="preserve">7. What We Say and Never Say</w:t>
      </w:r>
    </w:p>
    <w:p>
      <w:pPr>
        <w:pStyle w:val="Heading2"/>
        <w:spacing w:before="320" w:after="120"/>
      </w:pPr>
      <w:r>
        <w:rPr>
          <w:rFonts w:ascii="Arial" w:cs="Arial" w:eastAsia="Arial" w:hAnsi="Arial"/>
          <w:b/>
          <w:bCs/>
          <w:color w:val="0077B6"/>
          <w:sz w:val="26"/>
          <w:szCs w:val="26"/>
        </w:rPr>
        <w:t xml:space="preserve">On Our Provider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4332" w:val="clear"/>
            <w:tcMar>
              <w:top w:type="dxa" w:w="80"/>
              <w:left w:type="dxa" w:w="160"/>
              <w:bottom w:type="dxa" w:w="80"/>
              <w:right w:type="dxa" w:w="80"/>
            </w:tcMar>
          </w:tcPr>
          <w:p>
            <w:r>
              <w:rPr>
                <w:rFonts w:ascii="Arial" w:cs="Arial" w:eastAsia="Arial" w:hAnsi="Arial"/>
                <w:b/>
                <w:bCs/>
                <w:color w:val="FFFFFF"/>
                <w:sz w:val="20"/>
                <w:szCs w:val="20"/>
              </w:rPr>
              <w:t xml:space="preserve">✓  SAY THIS</w:t>
            </w:r>
          </w:p>
        </w:tc>
        <w:tc>
          <w:tcPr>
            <w:tcW w:type="dxa" w:w="4413"/>
            <w:tcBorders>
              <w:top w:val="none" w:color="FFFFFF" w:sz="0"/>
              <w:left w:val="none" w:color="FFFFFF" w:sz="0"/>
              <w:bottom w:val="none" w:color="FFFFFF" w:sz="0"/>
              <w:right w:val="none" w:color="FFFFFF" w:sz="0"/>
            </w:tcBorders>
            <w:shd w:fill="7B1D1D" w:val="clear"/>
            <w:tcMar>
              <w:top w:type="dxa" w:w="80"/>
              <w:left w:type="dxa" w:w="80"/>
              <w:bottom w:type="dxa" w:w="80"/>
              <w:right w:type="dxa" w:w="160"/>
            </w:tcMar>
          </w:tcPr>
          <w:p>
            <w:r>
              <w:rPr>
                <w:rFonts w:ascii="Arial" w:cs="Arial" w:eastAsia="Arial" w:hAnsi="Arial"/>
                <w:b/>
                <w:bCs/>
                <w:color w:val="FFFFFF"/>
                <w:sz w:val="20"/>
                <w:szCs w:val="20"/>
              </w:rPr>
              <w:t xml:space="preserve">✗  NEVER SAY</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We work with a panel of leading UK acquirers.</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We are powered by [acquirer name].</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Our panel gives you genuine choice — we match you to the right provider.</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Our partner [acquirer name] provides your terminal.</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We manage the acquirer relationship on your behalf.</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MWBS / [any back-end provider name].</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Our infrastructure is backed by established, FCA-regulated institutions.</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Any specific acquirer name in merchant-facing materials.</w:t>
            </w:r>
          </w:p>
        </w:tc>
      </w:tr>
    </w:tbl>
    <w:p>
      <w:pPr>
        <w:spacing w:before="200" w:after="0"/>
      </w:pPr>
    </w:p>
    <w:p>
      <w:pPr>
        <w:pStyle w:val="Heading2"/>
        <w:spacing w:before="320" w:after="120"/>
      </w:pPr>
      <w:r>
        <w:rPr>
          <w:rFonts w:ascii="Arial" w:cs="Arial" w:eastAsia="Arial" w:hAnsi="Arial"/>
          <w:b/>
          <w:bCs/>
          <w:color w:val="0077B6"/>
          <w:sz w:val="26"/>
          <w:szCs w:val="26"/>
        </w:rPr>
        <w:t xml:space="preserve">On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4332" w:val="clear"/>
            <w:tcMar>
              <w:top w:type="dxa" w:w="80"/>
              <w:left w:type="dxa" w:w="160"/>
              <w:bottom w:type="dxa" w:w="80"/>
              <w:right w:type="dxa" w:w="80"/>
            </w:tcMar>
          </w:tcPr>
          <w:p>
            <w:r>
              <w:rPr>
                <w:rFonts w:ascii="Arial" w:cs="Arial" w:eastAsia="Arial" w:hAnsi="Arial"/>
                <w:b/>
                <w:bCs/>
                <w:color w:val="FFFFFF"/>
                <w:sz w:val="20"/>
                <w:szCs w:val="20"/>
              </w:rPr>
              <w:t xml:space="preserve">✓  SAY THIS</w:t>
            </w:r>
          </w:p>
        </w:tc>
        <w:tc>
          <w:tcPr>
            <w:tcW w:type="dxa" w:w="4413"/>
            <w:tcBorders>
              <w:top w:val="none" w:color="FFFFFF" w:sz="0"/>
              <w:left w:val="none" w:color="FFFFFF" w:sz="0"/>
              <w:bottom w:val="none" w:color="FFFFFF" w:sz="0"/>
              <w:right w:val="none" w:color="FFFFFF" w:sz="0"/>
            </w:tcBorders>
            <w:shd w:fill="7B1D1D" w:val="clear"/>
            <w:tcMar>
              <w:top w:type="dxa" w:w="80"/>
              <w:left w:type="dxa" w:w="80"/>
              <w:bottom w:type="dxa" w:w="80"/>
              <w:right w:type="dxa" w:w="160"/>
            </w:tcMar>
          </w:tcPr>
          <w:p>
            <w:r>
              <w:rPr>
                <w:rFonts w:ascii="Arial" w:cs="Arial" w:eastAsia="Arial" w:hAnsi="Arial"/>
                <w:b/>
                <w:bCs/>
                <w:color w:val="FFFFFF"/>
                <w:sz w:val="20"/>
                <w:szCs w:val="20"/>
              </w:rPr>
              <w:t xml:space="preserve">✗  NEVER SAY</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IC++ pricing — you pay interchange plus a fixed margin.</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We are the cheapest.</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Our rates are competitive at every volume level.</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Guaranteed lowest rates.</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We will show you exactly what you pay and why.</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Free terminals.</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At your volume, IC++ will save you money versus a blended rate.</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Zero fees.</w:t>
            </w:r>
          </w:p>
        </w:tc>
      </w:tr>
    </w:tbl>
    <w:p>
      <w:pPr>
        <w:spacing w:before="200" w:after="0"/>
      </w:pPr>
    </w:p>
    <w:p>
      <w:pPr>
        <w:pStyle w:val="Heading2"/>
        <w:spacing w:before="320" w:after="120"/>
      </w:pPr>
      <w:r>
        <w:rPr>
          <w:rFonts w:ascii="Arial" w:cs="Arial" w:eastAsia="Arial" w:hAnsi="Arial"/>
          <w:b/>
          <w:bCs/>
          <w:color w:val="0077B6"/>
          <w:sz w:val="26"/>
          <w:szCs w:val="26"/>
        </w:rPr>
        <w:t xml:space="preserve">On What We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4332" w:val="clear"/>
            <w:tcMar>
              <w:top w:type="dxa" w:w="80"/>
              <w:left w:type="dxa" w:w="160"/>
              <w:bottom w:type="dxa" w:w="80"/>
              <w:right w:type="dxa" w:w="80"/>
            </w:tcMar>
          </w:tcPr>
          <w:p>
            <w:r>
              <w:rPr>
                <w:rFonts w:ascii="Arial" w:cs="Arial" w:eastAsia="Arial" w:hAnsi="Arial"/>
                <w:b/>
                <w:bCs/>
                <w:color w:val="FFFFFF"/>
                <w:sz w:val="20"/>
                <w:szCs w:val="20"/>
              </w:rPr>
              <w:t xml:space="preserve">✓  SAY THIS</w:t>
            </w:r>
          </w:p>
        </w:tc>
        <w:tc>
          <w:tcPr>
            <w:tcW w:type="dxa" w:w="4413"/>
            <w:tcBorders>
              <w:top w:val="none" w:color="FFFFFF" w:sz="0"/>
              <w:left w:val="none" w:color="FFFFFF" w:sz="0"/>
              <w:bottom w:val="none" w:color="FFFFFF" w:sz="0"/>
              <w:right w:val="none" w:color="FFFFFF" w:sz="0"/>
            </w:tcBorders>
            <w:shd w:fill="7B1D1D" w:val="clear"/>
            <w:tcMar>
              <w:top w:type="dxa" w:w="80"/>
              <w:left w:type="dxa" w:w="80"/>
              <w:bottom w:type="dxa" w:w="80"/>
              <w:right w:type="dxa" w:w="160"/>
            </w:tcMar>
          </w:tcPr>
          <w:p>
            <w:r>
              <w:rPr>
                <w:rFonts w:ascii="Arial" w:cs="Arial" w:eastAsia="Arial" w:hAnsi="Arial"/>
                <w:b/>
                <w:bCs/>
                <w:color w:val="FFFFFF"/>
                <w:sz w:val="20"/>
                <w:szCs w:val="20"/>
              </w:rPr>
              <w:t xml:space="preserve">✗  NEVER SAY</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Independent merchant services broker.</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Bank.</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We are not tied to any single acquirer.</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Acquirer.</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We work on your behalf, not the bank's.</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Payment processor.</w:t>
            </w:r>
          </w:p>
        </w:tc>
      </w:tr>
      <w:tr>
        <w:tc>
          <w:tcPr>
            <w:tcW w:type="dxa" w:w="4413"/>
            <w:tcBorders>
              <w:top w:val="none" w:color="FFFFFF" w:sz="0"/>
              <w:left w:val="none" w:color="FFFFFF" w:sz="0"/>
              <w:bottom w:val="none" w:color="FFFFFF" w:sz="0"/>
              <w:right w:val="none" w:color="FFFFFF" w:sz="0"/>
            </w:tcBorders>
            <w:shd w:fill="D8F3DC" w:val="clear"/>
            <w:tcMar>
              <w:top w:type="dxa" w:w="60"/>
              <w:left w:type="dxa" w:w="160"/>
              <w:bottom w:type="dxa" w:w="60"/>
              <w:right w:type="dxa" w:w="80"/>
            </w:tcMar>
          </w:tcPr>
          <w:p>
            <w:r>
              <w:rPr>
                <w:rFonts w:ascii="Arial" w:cs="Arial" w:eastAsia="Arial" w:hAnsi="Arial"/>
                <w:color w:val="1A1A2E"/>
                <w:sz w:val="20"/>
                <w:szCs w:val="20"/>
              </w:rPr>
              <w:t xml:space="preserve">We find the right solution for your business.</w:t>
            </w:r>
          </w:p>
        </w:tc>
        <w:tc>
          <w:tcPr>
            <w:tcW w:type="dxa" w:w="4413"/>
            <w:tcBorders>
              <w:top w:val="none" w:color="FFFFFF" w:sz="0"/>
              <w:left w:val="none" w:color="FFFFFF" w:sz="0"/>
              <w:bottom w:val="none" w:color="FFFFFF" w:sz="0"/>
              <w:right w:val="none" w:color="FFFFFF" w:sz="0"/>
            </w:tcBorders>
            <w:shd w:fill="FFE4E4" w:val="clear"/>
            <w:tcMar>
              <w:top w:type="dxa" w:w="60"/>
              <w:left w:type="dxa" w:w="80"/>
              <w:bottom w:type="dxa" w:w="60"/>
              <w:right w:type="dxa" w:w="160"/>
            </w:tcMar>
          </w:tcPr>
          <w:p>
            <w:r>
              <w:rPr>
                <w:rFonts w:ascii="Arial" w:cs="Arial" w:eastAsia="Arial" w:hAnsi="Arial"/>
                <w:color w:val="1A1A2E"/>
                <w:sz w:val="20"/>
                <w:szCs w:val="20"/>
              </w:rPr>
              <w:t xml:space="preserve">We process your payments.</w:t>
            </w:r>
          </w:p>
        </w:tc>
      </w:tr>
    </w:tbl>
    <w:p>
      <w:pPr>
        <w:spacing w:before="120" w:after="0"/>
      </w:pPr>
    </w:p>
    <w:p>
      <w:pPr>
        <w:pStyle w:val="Heading1"/>
        <w:spacing w:before="400" w:after="160"/>
      </w:pPr>
      <w:r>
        <w:rPr>
          <w:rFonts w:ascii="Arial" w:cs="Arial" w:eastAsia="Arial" w:hAnsi="Arial"/>
          <w:b/>
          <w:bCs/>
          <w:color w:val="1B2B4B"/>
          <w:sz w:val="36"/>
          <w:szCs w:val="36"/>
        </w:rPr>
        <w:t xml:space="preserve">8. Product Portfolio (Merchant-Facing Language)</w:t>
      </w:r>
    </w:p>
    <w:p>
      <w:pPr>
        <w:spacing w:before="60" w:after="100"/>
      </w:pPr>
      <w:r>
        <w:rPr>
          <w:rFonts w:ascii="Arial" w:cs="Arial" w:eastAsia="Arial" w:hAnsi="Arial"/>
          <w:color w:val="1A1A2E"/>
          <w:sz w:val="22"/>
          <w:szCs w:val="22"/>
        </w:rPr>
        <w:t xml:space="preserve">The following product names and descriptions should be used consistently. Do not reference any back-end supplier or technology provider in merchant-facing materials.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B2B4B" w:val="clear"/>
            <w:tcMar>
              <w:top w:type="dxa" w:w="80"/>
              <w:left w:type="dxa" w:w="160"/>
              <w:bottom w:type="dxa" w:w="80"/>
              <w:right w:type="dxa" w:w="120"/>
            </w:tcMar>
          </w:tcPr>
          <w:p>
            <w:r>
              <w:rPr>
                <w:rFonts w:ascii="Arial" w:cs="Arial" w:eastAsia="Arial" w:hAnsi="Arial"/>
                <w:b/>
                <w:bCs/>
                <w:color w:val="FFFFFF"/>
                <w:sz w:val="20"/>
                <w:szCs w:val="20"/>
              </w:rPr>
              <w:t xml:space="preserve">Product</w:t>
            </w:r>
          </w:p>
        </w:tc>
        <w:tc>
          <w:tcPr>
            <w:tcW w:type="dxa" w:w="6626"/>
            <w:tcBorders>
              <w:top w:val="none" w:color="FFFFFF" w:sz="0"/>
              <w:left w:val="none" w:color="FFFFFF" w:sz="0"/>
              <w:bottom w:val="none" w:color="FFFFFF" w:sz="0"/>
              <w:right w:val="none" w:color="FFFFFF" w:sz="0"/>
            </w:tcBorders>
            <w:shd w:fill="1B2B4B" w:val="clear"/>
            <w:tcMar>
              <w:top w:type="dxa" w:w="80"/>
              <w:left w:type="dxa" w:w="120"/>
              <w:bottom w:type="dxa" w:w="80"/>
              <w:right w:type="dxa" w:w="160"/>
            </w:tcMar>
          </w:tcPr>
          <w:p>
            <w:r>
              <w:rPr>
                <w:rFonts w:ascii="Arial" w:cs="Arial" w:eastAsia="Arial" w:hAnsi="Arial"/>
                <w:b/>
                <w:bCs/>
                <w:color w:val="FFFFFF"/>
                <w:sz w:val="20"/>
                <w:szCs w:val="20"/>
              </w:rPr>
              <w:t xml:space="preserve">Merchant-Facing Description</w:t>
            </w:r>
          </w:p>
        </w:tc>
      </w:tr>
      <w:tr>
        <w:tc>
          <w:tcPr>
            <w:tcW w:type="dxa" w:w="24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1A1A2E"/>
                <w:sz w:val="20"/>
                <w:szCs w:val="20"/>
              </w:rPr>
              <w:t xml:space="preserve">Card Terminals</w:t>
            </w:r>
          </w:p>
        </w:tc>
        <w:tc>
          <w:tcPr>
            <w:tcW w:type="dxa" w:w="6626"/>
            <w:tcBorders>
              <w:top w:val="none" w:color="FFFFFF" w:sz="0"/>
              <w:left w:val="none" w:color="FFFFFF" w:sz="0"/>
              <w:bottom w:val="none" w:color="FFFFFF" w:sz="0"/>
              <w:right w:val="none" w:color="FFFFFF" w:sz="0"/>
            </w:tcBorders>
            <w:shd w:fill="EEF4FB" w:val="clear"/>
            <w:tcMar>
              <w:top w:type="dxa" w:w="80"/>
              <w:left w:type="dxa" w:w="120"/>
              <w:bottom w:type="dxa" w:w="80"/>
              <w:right w:type="dxa" w:w="160"/>
            </w:tcMar>
          </w:tcPr>
          <w:p>
            <w:r>
              <w:rPr>
                <w:rFonts w:ascii="Arial" w:cs="Arial" w:eastAsia="Arial" w:hAnsi="Arial"/>
                <w:b w:val="false"/>
                <w:bCs w:val="false"/>
                <w:color w:val="1A1A2E"/>
                <w:sz w:val="20"/>
                <w:szCs w:val="20"/>
              </w:rPr>
              <w:t xml:space="preserve">Countertop, portable, and mobile card terminals. Chip &amp; PIN, contactless, and digital wallet acceptance. Suitable for retail, hospitality, and field-based operations.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Smart Payment App</w:t>
            </w:r>
          </w:p>
        </w:tc>
        <w:tc>
          <w:tcPr>
            <w:tcW w:type="dxa" w:w="6626"/>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b w:val="false"/>
                <w:bCs w:val="false"/>
                <w:color w:val="1A1A2E"/>
                <w:sz w:val="20"/>
                <w:szCs w:val="20"/>
              </w:rPr>
              <w:t xml:space="preserve">A flexible payment app for in-person, remote, and online payments. Includes Pay by Link, gratuities, split payments, and real-time reporting. Available on Android and iOS.</w:t>
            </w:r>
          </w:p>
        </w:tc>
      </w:tr>
      <w:tr>
        <w:tc>
          <w:tcPr>
            <w:tcW w:type="dxa" w:w="24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1A1A2E"/>
                <w:sz w:val="20"/>
                <w:szCs w:val="20"/>
              </w:rPr>
              <w:t xml:space="preserve">E-Commerce &amp; Gateway</w:t>
            </w:r>
          </w:p>
        </w:tc>
        <w:tc>
          <w:tcPr>
            <w:tcW w:type="dxa" w:w="6626"/>
            <w:tcBorders>
              <w:top w:val="none" w:color="FFFFFF" w:sz="0"/>
              <w:left w:val="none" w:color="FFFFFF" w:sz="0"/>
              <w:bottom w:val="none" w:color="FFFFFF" w:sz="0"/>
              <w:right w:val="none" w:color="FFFFFF" w:sz="0"/>
            </w:tcBorders>
            <w:shd w:fill="EEF4FB" w:val="clear"/>
            <w:tcMar>
              <w:top w:type="dxa" w:w="80"/>
              <w:left w:type="dxa" w:w="120"/>
              <w:bottom w:type="dxa" w:w="80"/>
              <w:right w:type="dxa" w:w="160"/>
            </w:tcMar>
          </w:tcPr>
          <w:p>
            <w:r>
              <w:rPr>
                <w:rFonts w:ascii="Arial" w:cs="Arial" w:eastAsia="Arial" w:hAnsi="Arial"/>
                <w:b w:val="false"/>
                <w:bCs w:val="false"/>
                <w:color w:val="1A1A2E"/>
                <w:sz w:val="20"/>
                <w:szCs w:val="20"/>
              </w:rPr>
              <w:t xml:space="preserve">Online payment pages, hosted checkout, and virtual terminal for CNP and MOTO transactions. Integrates with major platforms and APIs.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EPOS Solutions</w:t>
            </w:r>
          </w:p>
        </w:tc>
        <w:tc>
          <w:tcPr>
            <w:tcW w:type="dxa" w:w="6626"/>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b w:val="false"/>
                <w:bCs w:val="false"/>
                <w:color w:val="1A1A2E"/>
                <w:sz w:val="20"/>
                <w:szCs w:val="20"/>
              </w:rPr>
              <w:t xml:space="preserve">Full point-of-sale systems for retail and hospitality — integrated with card payment, inventory, staff management, and reporting.</w:t>
            </w:r>
          </w:p>
        </w:tc>
      </w:tr>
      <w:tr>
        <w:tc>
          <w:tcPr>
            <w:tcW w:type="dxa" w:w="24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1A1A2E"/>
                <w:sz w:val="20"/>
                <w:szCs w:val="20"/>
              </w:rPr>
              <w:t xml:space="preserve">Merchant Cash Advance</w:t>
            </w:r>
          </w:p>
        </w:tc>
        <w:tc>
          <w:tcPr>
            <w:tcW w:type="dxa" w:w="6626"/>
            <w:tcBorders>
              <w:top w:val="none" w:color="FFFFFF" w:sz="0"/>
              <w:left w:val="none" w:color="FFFFFF" w:sz="0"/>
              <w:bottom w:val="none" w:color="FFFFFF" w:sz="0"/>
              <w:right w:val="none" w:color="FFFFFF" w:sz="0"/>
            </w:tcBorders>
            <w:shd w:fill="EEF4FB" w:val="clear"/>
            <w:tcMar>
              <w:top w:type="dxa" w:w="80"/>
              <w:left w:type="dxa" w:w="120"/>
              <w:bottom w:type="dxa" w:w="80"/>
              <w:right w:type="dxa" w:w="160"/>
            </w:tcMar>
          </w:tcPr>
          <w:p>
            <w:r>
              <w:rPr>
                <w:rFonts w:ascii="Arial" w:cs="Arial" w:eastAsia="Arial" w:hAnsi="Arial"/>
                <w:b w:val="false"/>
                <w:bCs w:val="false"/>
                <w:color w:val="1A1A2E"/>
                <w:sz w:val="20"/>
                <w:szCs w:val="20"/>
              </w:rPr>
              <w:t xml:space="preserve">Business funding of £5,000 to £1,000,000, based on your monthly card turnover. No fixed repayments — you repay as a percentage of daily card sales. Available to eligible merchants within days.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Pay by Link</w:t>
            </w:r>
          </w:p>
        </w:tc>
        <w:tc>
          <w:tcPr>
            <w:tcW w:type="dxa" w:w="6626"/>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b w:val="false"/>
                <w:bCs w:val="false"/>
                <w:color w:val="1A1A2E"/>
                <w:sz w:val="20"/>
                <w:szCs w:val="20"/>
              </w:rPr>
              <w:t xml:space="preserve">Send a secure payment link via email or SMS. Customers pay from any device. Tracked from send to completion. From 15p per transaction.</w:t>
            </w:r>
          </w:p>
        </w:tc>
      </w:tr>
      <w:tr>
        <w:tc>
          <w:tcPr>
            <w:tcW w:type="dxa" w:w="2400"/>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1A1A2E"/>
                <w:sz w:val="20"/>
                <w:szCs w:val="20"/>
              </w:rPr>
              <w:t xml:space="preserve">Open Banking Payments</w:t>
            </w:r>
          </w:p>
        </w:tc>
        <w:tc>
          <w:tcPr>
            <w:tcW w:type="dxa" w:w="6626"/>
            <w:tcBorders>
              <w:top w:val="none" w:color="FFFFFF" w:sz="0"/>
              <w:left w:val="none" w:color="FFFFFF" w:sz="0"/>
              <w:bottom w:val="none" w:color="FFFFFF" w:sz="0"/>
              <w:right w:val="none" w:color="FFFFFF" w:sz="0"/>
            </w:tcBorders>
            <w:shd w:fill="EEF4FB" w:val="clear"/>
            <w:tcMar>
              <w:top w:type="dxa" w:w="80"/>
              <w:left w:type="dxa" w:w="120"/>
              <w:bottom w:type="dxa" w:w="80"/>
              <w:right w:type="dxa" w:w="160"/>
            </w:tcMar>
          </w:tcPr>
          <w:p>
            <w:r>
              <w:rPr>
                <w:rFonts w:ascii="Arial" w:cs="Arial" w:eastAsia="Arial" w:hAnsi="Arial"/>
                <w:b w:val="false"/>
                <w:bCs w:val="false"/>
                <w:color w:val="1A1A2E"/>
                <w:sz w:val="20"/>
                <w:szCs w:val="20"/>
              </w:rPr>
              <w:t xml:space="preserve">Bank-to-bank payment collection without card network fees. Suitable for high-value or recurring transactions.</w:t>
            </w:r>
          </w:p>
        </w:tc>
      </w:tr>
    </w:tbl>
    <w:p>
      <w:pPr>
        <w:spacing w:before="120" w:after="0"/>
      </w:pPr>
    </w:p>
    <w:p>
      <w:pPr>
        <w:pStyle w:val="Heading1"/>
        <w:spacing w:before="400" w:after="160"/>
      </w:pPr>
      <w:r>
        <w:rPr>
          <w:rFonts w:ascii="Arial" w:cs="Arial" w:eastAsia="Arial" w:hAnsi="Arial"/>
          <w:b/>
          <w:bCs/>
          <w:color w:val="1B2B4B"/>
          <w:sz w:val="36"/>
          <w:szCs w:val="36"/>
        </w:rPr>
        <w:t xml:space="preserve">9. Go-To-Market Channels</w:t>
      </w:r>
    </w:p>
    <w:p>
      <w:pPr>
        <w:spacing w:before="60" w:after="100"/>
      </w:pPr>
      <w:r>
        <w:rPr>
          <w:rFonts w:ascii="Arial" w:cs="Arial" w:eastAsia="Arial" w:hAnsi="Arial"/>
          <w:color w:val="1A1A2E"/>
          <w:sz w:val="22"/>
          <w:szCs w:val="22"/>
        </w:rPr>
        <w:t xml:space="preserve">Payhorizon uses all available channels. Each channel requires consistent messaging aligned to this document. Channel-specific tone adjustments are permitted (e.g. shorter copy for social) but core positioning must not deviate.</w:t>
      </w:r>
    </w:p>
    <w:p>
      <w:pPr>
        <w:spacing w:before="80" w:after="0"/>
      </w:pPr>
    </w:p>
    <w:p>
      <w:pPr>
        <w:spacing w:before="240" w:after="80"/>
      </w:pPr>
      <w:r>
        <w:rPr>
          <w:rFonts w:ascii="Arial" w:cs="Arial" w:eastAsia="Arial" w:hAnsi="Arial"/>
          <w:b/>
          <w:bCs/>
          <w:color w:val="1B2B4B"/>
          <w:sz w:val="22"/>
          <w:szCs w:val="22"/>
        </w:rPr>
        <w:t xml:space="preserve">Digital &amp; Inbound</w:t>
      </w:r>
    </w:p>
    <w:p>
      <w:pPr>
        <w:pStyle w:val="ListParagraph"/>
        <w:numPr>
          <w:ilvl w:val="0"/>
          <w:numId w:val="2"/>
        </w:numPr>
        <w:spacing w:before="40" w:after="40"/>
      </w:pPr>
      <w:r>
        <w:rPr>
          <w:rFonts w:ascii="Arial" w:cs="Arial" w:eastAsia="Arial" w:hAnsi="Arial"/>
          <w:color w:val="1A1A2E"/>
          <w:sz w:val="22"/>
          <w:szCs w:val="22"/>
        </w:rPr>
        <w:t xml:space="preserve">SEO — target commercial intent keywords: "merchant services UK", "card payment solutions [sector]", "IC++ pricing", "business cash advance".</w:t>
      </w:r>
    </w:p>
    <w:p>
      <w:pPr>
        <w:pStyle w:val="ListParagraph"/>
        <w:numPr>
          <w:ilvl w:val="0"/>
          <w:numId w:val="2"/>
        </w:numPr>
        <w:spacing w:before="40" w:after="40"/>
      </w:pPr>
      <w:r>
        <w:rPr>
          <w:rFonts w:ascii="Arial" w:cs="Arial" w:eastAsia="Arial" w:hAnsi="Arial"/>
          <w:color w:val="1A1A2E"/>
          <w:sz w:val="22"/>
          <w:szCs w:val="22"/>
        </w:rPr>
        <w:t xml:space="preserve">Google Ads — segment campaigns by ICP: SME physical vs institutional/high-volume.</w:t>
      </w:r>
    </w:p>
    <w:p>
      <w:pPr>
        <w:pStyle w:val="ListParagraph"/>
        <w:numPr>
          <w:ilvl w:val="0"/>
          <w:numId w:val="2"/>
        </w:numPr>
        <w:spacing w:before="40" w:after="40"/>
      </w:pPr>
      <w:r>
        <w:rPr>
          <w:rFonts w:ascii="Arial" w:cs="Arial" w:eastAsia="Arial" w:hAnsi="Arial"/>
          <w:color w:val="1A1A2E"/>
          <w:sz w:val="22"/>
          <w:szCs w:val="22"/>
        </w:rPr>
        <w:t xml:space="preserve">Website — primary conversion asset. All pages must reflect this positioning document.</w:t>
      </w:r>
    </w:p>
    <w:p>
      <w:pPr>
        <w:pStyle w:val="ListParagraph"/>
        <w:numPr>
          <w:ilvl w:val="0"/>
          <w:numId w:val="2"/>
        </w:numPr>
        <w:spacing w:before="40" w:after="40"/>
      </w:pPr>
      <w:r>
        <w:rPr>
          <w:rFonts w:ascii="Arial" w:cs="Arial" w:eastAsia="Arial" w:hAnsi="Arial"/>
          <w:color w:val="1A1A2E"/>
          <w:sz w:val="22"/>
          <w:szCs w:val="22"/>
        </w:rPr>
        <w:t xml:space="preserve">Comparison platforms — Merchant Machine, Compare Card Fees, Card Switcher.</w:t>
      </w:r>
    </w:p>
    <w:p>
      <w:pPr>
        <w:spacing w:before="100" w:after="0"/>
      </w:pPr>
    </w:p>
    <w:p>
      <w:pPr>
        <w:spacing w:before="240" w:after="80"/>
      </w:pPr>
      <w:r>
        <w:rPr>
          <w:rFonts w:ascii="Arial" w:cs="Arial" w:eastAsia="Arial" w:hAnsi="Arial"/>
          <w:b/>
          <w:bCs/>
          <w:color w:val="1B2B4B"/>
          <w:sz w:val="22"/>
          <w:szCs w:val="22"/>
        </w:rPr>
        <w:t xml:space="preserve">Direct &amp; Outbound</w:t>
      </w:r>
    </w:p>
    <w:p>
      <w:pPr>
        <w:pStyle w:val="ListParagraph"/>
        <w:numPr>
          <w:ilvl w:val="0"/>
          <w:numId w:val="2"/>
        </w:numPr>
        <w:spacing w:before="40" w:after="40"/>
      </w:pPr>
      <w:r>
        <w:rPr>
          <w:rFonts w:ascii="Arial" w:cs="Arial" w:eastAsia="Arial" w:hAnsi="Arial"/>
          <w:color w:val="1A1A2E"/>
          <w:sz w:val="22"/>
          <w:szCs w:val="22"/>
        </w:rPr>
        <w:t xml:space="preserve">LinkedIn — primary channel for institutional segment. Target finance directors, operations managers, procurement leads.</w:t>
      </w:r>
    </w:p>
    <w:p>
      <w:pPr>
        <w:pStyle w:val="ListParagraph"/>
        <w:numPr>
          <w:ilvl w:val="0"/>
          <w:numId w:val="2"/>
        </w:numPr>
        <w:spacing w:before="40" w:after="40"/>
      </w:pPr>
      <w:r>
        <w:rPr>
          <w:rFonts w:ascii="Arial" w:cs="Arial" w:eastAsia="Arial" w:hAnsi="Arial"/>
          <w:color w:val="1A1A2E"/>
          <w:sz w:val="22"/>
          <w:szCs w:val="22"/>
        </w:rPr>
        <w:t xml:space="preserve">Email outreach — personalised sequences per sector. See email templates (separate document).</w:t>
      </w:r>
    </w:p>
    <w:p>
      <w:pPr>
        <w:pStyle w:val="ListParagraph"/>
        <w:numPr>
          <w:ilvl w:val="0"/>
          <w:numId w:val="2"/>
        </w:numPr>
        <w:spacing w:before="40" w:after="40"/>
      </w:pPr>
      <w:r>
        <w:rPr>
          <w:rFonts w:ascii="Arial" w:cs="Arial" w:eastAsia="Arial" w:hAnsi="Arial"/>
          <w:color w:val="1A1A2E"/>
          <w:sz w:val="22"/>
          <w:szCs w:val="22"/>
        </w:rPr>
        <w:t xml:space="preserve">Trade shows &amp; events — Retail Technology Show, Hospitality Show, local chamber of commerce events.</w:t>
      </w:r>
    </w:p>
    <w:p>
      <w:pPr>
        <w:spacing w:before="100" w:after="0"/>
      </w:pPr>
    </w:p>
    <w:p>
      <w:pPr>
        <w:spacing w:before="240" w:after="80"/>
      </w:pPr>
      <w:r>
        <w:rPr>
          <w:rFonts w:ascii="Arial" w:cs="Arial" w:eastAsia="Arial" w:hAnsi="Arial"/>
          <w:b/>
          <w:bCs/>
          <w:color w:val="1B2B4B"/>
          <w:sz w:val="22"/>
          <w:szCs w:val="22"/>
        </w:rPr>
        <w:t xml:space="preserve">Referral &amp; Indirect</w:t>
      </w:r>
    </w:p>
    <w:p>
      <w:pPr>
        <w:pStyle w:val="ListParagraph"/>
        <w:numPr>
          <w:ilvl w:val="0"/>
          <w:numId w:val="2"/>
        </w:numPr>
        <w:spacing w:before="40" w:after="40"/>
      </w:pPr>
      <w:r>
        <w:rPr>
          <w:rFonts w:ascii="Arial" w:cs="Arial" w:eastAsia="Arial" w:hAnsi="Arial"/>
          <w:color w:val="1A1A2E"/>
          <w:sz w:val="22"/>
          <w:szCs w:val="22"/>
        </w:rPr>
        <w:t xml:space="preserve">Accountants, bookkeepers, and financial advisers — a high-trust introduction channel for SMEs.</w:t>
      </w:r>
    </w:p>
    <w:p>
      <w:pPr>
        <w:pStyle w:val="ListParagraph"/>
        <w:numPr>
          <w:ilvl w:val="0"/>
          <w:numId w:val="2"/>
        </w:numPr>
        <w:spacing w:before="40" w:after="40"/>
      </w:pPr>
      <w:r>
        <w:rPr>
          <w:rFonts w:ascii="Arial" w:cs="Arial" w:eastAsia="Arial" w:hAnsi="Arial"/>
          <w:color w:val="1A1A2E"/>
          <w:sz w:val="22"/>
          <w:szCs w:val="22"/>
        </w:rPr>
        <w:t xml:space="preserve">Business consultants and turnaround specialists — natural fit for MCA product.</w:t>
      </w:r>
    </w:p>
    <w:p>
      <w:pPr>
        <w:pStyle w:val="ListParagraph"/>
        <w:numPr>
          <w:ilvl w:val="0"/>
          <w:numId w:val="2"/>
        </w:numPr>
        <w:spacing w:before="40" w:after="40"/>
      </w:pPr>
      <w:r>
        <w:rPr>
          <w:rFonts w:ascii="Arial" w:cs="Arial" w:eastAsia="Arial" w:hAnsi="Arial"/>
          <w:color w:val="1A1A2E"/>
          <w:sz w:val="22"/>
          <w:szCs w:val="22"/>
        </w:rPr>
        <w:t xml:space="preserve">Trade associations — sector-specific bodies for transport, parking, hospitality, and local government.</w:t>
      </w:r>
    </w:p>
    <w:p>
      <w:pPr>
        <w:spacing w:before="120" w:after="0"/>
      </w:pPr>
    </w:p>
    <w:p>
      <w:pPr>
        <w:pStyle w:val="Heading1"/>
        <w:spacing w:before="400" w:after="160"/>
      </w:pPr>
      <w:r>
        <w:rPr>
          <w:rFonts w:ascii="Arial" w:cs="Arial" w:eastAsia="Arial" w:hAnsi="Arial"/>
          <w:b/>
          <w:bCs/>
          <w:color w:val="1B2B4B"/>
          <w:sz w:val="36"/>
          <w:szCs w:val="36"/>
        </w:rPr>
        <w:t xml:space="preserve">10. Brand Identity Rules</w:t>
      </w:r>
    </w:p>
    <w:p>
      <w:pPr>
        <w:pStyle w:val="Heading2"/>
        <w:spacing w:before="320" w:after="120"/>
      </w:pPr>
      <w:r>
        <w:rPr>
          <w:rFonts w:ascii="Arial" w:cs="Arial" w:eastAsia="Arial" w:hAnsi="Arial"/>
          <w:b/>
          <w:bCs/>
          <w:color w:val="0077B6"/>
          <w:sz w:val="26"/>
          <w:szCs w:val="26"/>
        </w:rPr>
        <w:t xml:space="preserve">Name Usage</w:t>
      </w:r>
    </w:p>
    <w:p>
      <w:pPr>
        <w:pStyle w:val="ListParagraph"/>
        <w:numPr>
          <w:ilvl w:val="0"/>
          <w:numId w:val="2"/>
        </w:numPr>
        <w:spacing w:before="40" w:after="40"/>
      </w:pPr>
      <w:r>
        <w:rPr>
          <w:rFonts w:ascii="Arial" w:cs="Arial" w:eastAsia="Arial" w:hAnsi="Arial"/>
          <w:color w:val="1A1A2E"/>
          <w:sz w:val="22"/>
          <w:szCs w:val="22"/>
        </w:rPr>
        <w:t xml:space="preserve">"Payhorizon" — always one word, capital P only. Never "Pay Horizon", "PayHorizon", or "PAYHORIZON" in body copy.</w:t>
      </w:r>
    </w:p>
    <w:p>
      <w:pPr>
        <w:pStyle w:val="ListParagraph"/>
        <w:numPr>
          <w:ilvl w:val="0"/>
          <w:numId w:val="2"/>
        </w:numPr>
        <w:spacing w:before="40" w:after="40"/>
      </w:pPr>
      <w:r>
        <w:rPr>
          <w:rFonts w:ascii="Arial" w:cs="Arial" w:eastAsia="Arial" w:hAnsi="Arial"/>
          <w:color w:val="1A1A2E"/>
          <w:sz w:val="22"/>
          <w:szCs w:val="22"/>
        </w:rPr>
        <w:t xml:space="preserve">In formal documents and legal contexts: "Payhorizon Ltd"</w:t>
      </w:r>
    </w:p>
    <w:p>
      <w:pPr>
        <w:spacing w:before="100" w:after="0"/>
      </w:pPr>
    </w:p>
    <w:p>
      <w:pPr>
        <w:pStyle w:val="Heading2"/>
        <w:spacing w:before="320" w:after="120"/>
      </w:pPr>
      <w:r>
        <w:rPr>
          <w:rFonts w:ascii="Arial" w:cs="Arial" w:eastAsia="Arial" w:hAnsi="Arial"/>
          <w:b/>
          <w:bCs/>
          <w:color w:val="0077B6"/>
          <w:sz w:val="26"/>
          <w:szCs w:val="26"/>
        </w:rPr>
        <w:t xml:space="preserve">What We Are Not</w:t>
      </w:r>
    </w:p>
    <w:p>
      <w:pPr>
        <w:spacing w:before="60" w:after="100"/>
      </w:pPr>
      <w:r>
        <w:rPr>
          <w:rFonts w:ascii="Arial" w:cs="Arial" w:eastAsia="Arial" w:hAnsi="Arial"/>
          <w:color w:val="1A1A2E"/>
          <w:sz w:val="22"/>
          <w:szCs w:val="22"/>
        </w:rPr>
        <w:t xml:space="preserve">These terms must never appear in merchant-facing materials, even if technically accurate:</w:t>
      </w:r>
    </w:p>
    <w:p>
      <w:pPr>
        <w:pStyle w:val="ListParagraph"/>
        <w:numPr>
          <w:ilvl w:val="0"/>
          <w:numId w:val="2"/>
        </w:numPr>
        <w:spacing w:before="40" w:after="40"/>
      </w:pPr>
      <w:r>
        <w:rPr>
          <w:rFonts w:ascii="Arial" w:cs="Arial" w:eastAsia="Arial" w:hAnsi="Arial"/>
          <w:color w:val="1A1A2E"/>
          <w:sz w:val="22"/>
          <w:szCs w:val="22"/>
        </w:rPr>
        <w:t xml:space="preserve">MWBS / Modern World Business Solutions</w:t>
      </w:r>
    </w:p>
    <w:p>
      <w:pPr>
        <w:pStyle w:val="ListParagraph"/>
        <w:numPr>
          <w:ilvl w:val="0"/>
          <w:numId w:val="2"/>
        </w:numPr>
        <w:spacing w:before="40" w:after="40"/>
      </w:pPr>
      <w:r>
        <w:rPr>
          <w:rFonts w:ascii="Arial" w:cs="Arial" w:eastAsia="Arial" w:hAnsi="Arial"/>
          <w:color w:val="1A1A2E"/>
          <w:sz w:val="22"/>
          <w:szCs w:val="22"/>
        </w:rPr>
        <w:t xml:space="preserve">Any acquirer name (Elavon, Worldpay, Trust Payments, AIB, Clover, Cashflows, Shift4, etc.)</w:t>
      </w:r>
    </w:p>
    <w:p>
      <w:pPr>
        <w:pStyle w:val="ListParagraph"/>
        <w:numPr>
          <w:ilvl w:val="0"/>
          <w:numId w:val="2"/>
        </w:numPr>
        <w:spacing w:before="40" w:after="40"/>
      </w:pPr>
      <w:r>
        <w:rPr>
          <w:rFonts w:ascii="Arial" w:cs="Arial" w:eastAsia="Arial" w:hAnsi="Arial"/>
          <w:color w:val="1A1A2E"/>
          <w:sz w:val="22"/>
          <w:szCs w:val="22"/>
        </w:rPr>
        <w:t xml:space="preserve">"Powered by [any provider]"</w:t>
      </w:r>
    </w:p>
    <w:p>
      <w:pPr>
        <w:pStyle w:val="ListParagraph"/>
        <w:numPr>
          <w:ilvl w:val="0"/>
          <w:numId w:val="2"/>
        </w:numPr>
        <w:spacing w:before="40" w:after="40"/>
      </w:pPr>
      <w:r>
        <w:rPr>
          <w:rFonts w:ascii="Arial" w:cs="Arial" w:eastAsia="Arial" w:hAnsi="Arial"/>
          <w:color w:val="1A1A2E"/>
          <w:sz w:val="22"/>
          <w:szCs w:val="22"/>
        </w:rPr>
        <w:t xml:space="preserve">"Reseller" or "agent" or "ISO"</w:t>
      </w:r>
    </w:p>
    <w:p>
      <w:pPr>
        <w:spacing w:before="100" w:after="0"/>
      </w:pPr>
    </w:p>
    <w:p>
      <w:pPr>
        <w:pStyle w:val="Heading2"/>
        <w:spacing w:before="320" w:after="120"/>
      </w:pPr>
      <w:r>
        <w:rPr>
          <w:rFonts w:ascii="Arial" w:cs="Arial" w:eastAsia="Arial" w:hAnsi="Arial"/>
          <w:b/>
          <w:bCs/>
          <w:color w:val="0077B6"/>
          <w:sz w:val="26"/>
          <w:szCs w:val="26"/>
        </w:rPr>
        <w:t xml:space="preserve">Approved Alternatives</w:t>
      </w:r>
    </w:p>
    <w:p>
      <w:pPr>
        <w:pStyle w:val="ListParagraph"/>
        <w:numPr>
          <w:ilvl w:val="0"/>
          <w:numId w:val="2"/>
        </w:numPr>
        <w:spacing w:before="40" w:after="40"/>
      </w:pPr>
      <w:r>
        <w:rPr>
          <w:rFonts w:ascii="Arial" w:cs="Arial" w:eastAsia="Arial" w:hAnsi="Arial"/>
          <w:color w:val="1A1A2E"/>
          <w:sz w:val="22"/>
          <w:szCs w:val="22"/>
        </w:rPr>
        <w:t xml:space="preserve">"Our panel of UK acquirers"</w:t>
      </w:r>
    </w:p>
    <w:p>
      <w:pPr>
        <w:pStyle w:val="ListParagraph"/>
        <w:numPr>
          <w:ilvl w:val="0"/>
          <w:numId w:val="2"/>
        </w:numPr>
        <w:spacing w:before="40" w:after="40"/>
      </w:pPr>
      <w:r>
        <w:rPr>
          <w:rFonts w:ascii="Arial" w:cs="Arial" w:eastAsia="Arial" w:hAnsi="Arial"/>
          <w:color w:val="1A1A2E"/>
          <w:sz w:val="22"/>
          <w:szCs w:val="22"/>
        </w:rPr>
        <w:t xml:space="preserve">"Our network of payment providers"</w:t>
      </w:r>
    </w:p>
    <w:p>
      <w:pPr>
        <w:pStyle w:val="ListParagraph"/>
        <w:numPr>
          <w:ilvl w:val="0"/>
          <w:numId w:val="2"/>
        </w:numPr>
        <w:spacing w:before="40" w:after="40"/>
      </w:pPr>
      <w:r>
        <w:rPr>
          <w:rFonts w:ascii="Arial" w:cs="Arial" w:eastAsia="Arial" w:hAnsi="Arial"/>
          <w:color w:val="1A1A2E"/>
          <w:sz w:val="22"/>
          <w:szCs w:val="22"/>
        </w:rPr>
        <w:t xml:space="preserve">"FCA-regulated acquiring partners"</w:t>
      </w:r>
    </w:p>
    <w:p>
      <w:pPr>
        <w:pStyle w:val="ListParagraph"/>
        <w:numPr>
          <w:ilvl w:val="0"/>
          <w:numId w:val="2"/>
        </w:numPr>
        <w:spacing w:before="40" w:after="40"/>
      </w:pPr>
      <w:r>
        <w:rPr>
          <w:rFonts w:ascii="Arial" w:cs="Arial" w:eastAsia="Arial" w:hAnsi="Arial"/>
          <w:color w:val="1A1A2E"/>
          <w:sz w:val="22"/>
          <w:szCs w:val="22"/>
        </w:rPr>
        <w:t xml:space="preserve">"Our technology partners"</w:t>
      </w:r>
    </w:p>
    <w:p>
      <w:pPr>
        <w:spacing w:before="120" w:after="0"/>
      </w:pPr>
    </w:p>
    <w:p>
      <w:pPr>
        <w:pStyle w:val="Heading1"/>
        <w:spacing w:before="400" w:after="160"/>
      </w:pPr>
      <w:r>
        <w:rPr>
          <w:rFonts w:ascii="Arial" w:cs="Arial" w:eastAsia="Arial" w:hAnsi="Arial"/>
          <w:b/>
          <w:bCs/>
          <w:color w:val="1B2B4B"/>
          <w:sz w:val="36"/>
          <w:szCs w:val="36"/>
        </w:rPr>
        <w:t xml:space="preserve">11. Competitive Context</w:t>
      </w:r>
    </w:p>
    <w:p>
      <w:pPr>
        <w:spacing w:before="60" w:after="100"/>
      </w:pPr>
      <w:r>
        <w:rPr>
          <w:rFonts w:ascii="Arial" w:cs="Arial" w:eastAsia="Arial" w:hAnsi="Arial"/>
          <w:color w:val="1A1A2E"/>
          <w:sz w:val="22"/>
          <w:szCs w:val="22"/>
        </w:rPr>
        <w:t xml:space="preserve">We do not name competitors in any merchant-facing materials. We position by contrast without naming names.</w:t>
      </w:r>
    </w:p>
    <w:p>
      <w:pPr>
        <w:spacing w:before="80" w:after="0"/>
      </w:pPr>
    </w:p>
    <w:p>
      <w:pPr>
        <w:spacing w:before="240" w:after="80"/>
      </w:pPr>
      <w:r>
        <w:rPr>
          <w:rFonts w:ascii="Arial" w:cs="Arial" w:eastAsia="Arial" w:hAnsi="Arial"/>
          <w:b/>
          <w:bCs/>
          <w:color w:val="1B2B4B"/>
          <w:sz w:val="22"/>
          <w:szCs w:val="22"/>
        </w:rPr>
        <w:t xml:space="preserve">How to handle "who are you?" questions from merchants: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before="0" w:after="60"/>
            </w:pPr>
            <w:r>
              <w:rPr>
                <w:rFonts w:ascii="Arial" w:cs="Arial" w:eastAsia="Arial" w:hAnsi="Arial"/>
                <w:b/>
                <w:bCs/>
                <w:color w:val="0077B6"/>
                <w:sz w:val="22"/>
                <w:szCs w:val="22"/>
              </w:rPr>
              <w:t xml:space="preserve">Suggested response:</w:t>
            </w:r>
          </w:p>
          <w:p>
            <w:pPr>
              <w:spacing w:before="0" w:after="0"/>
            </w:pPr>
            <w:r>
              <w:rPr>
                <w:rFonts w:ascii="Arial" w:cs="Arial" w:eastAsia="Arial" w:hAnsi="Arial"/>
                <w:i/>
                <w:iCs/>
                <w:color w:val="1A1A2E"/>
                <w:sz w:val="22"/>
                <w:szCs w:val="22"/>
              </w:rPr>
              <w:t xml:space="preserve">"Great question — we're an independent merchant services broker. That means we're not owned by any bank and we're not tied to any single acquirer. We work with a panel of providers and find the right fit for your business. One point of contact, but the best of the market. Think of us as a payment specialist who works for you, not for the bank."</w:t>
            </w:r>
          </w:p>
        </w:tc>
      </w:tr>
    </w:tbl>
    <w:p>
      <w:pPr>
        <w:spacing w:before="160" w:after="0"/>
      </w:pPr>
    </w:p>
    <w:p>
      <w:pPr>
        <w:spacing w:before="240" w:after="80"/>
      </w:pPr>
      <w:r>
        <w:rPr>
          <w:rFonts w:ascii="Arial" w:cs="Arial" w:eastAsia="Arial" w:hAnsi="Arial"/>
          <w:b/>
          <w:bCs/>
          <w:color w:val="1B2B4B"/>
          <w:sz w:val="22"/>
          <w:szCs w:val="22"/>
        </w:rPr>
        <w:t xml:space="preserve">How to handle "are you better than [competitor]?"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before="0" w:after="60"/>
            </w:pPr>
            <w:r>
              <w:rPr>
                <w:rFonts w:ascii="Arial" w:cs="Arial" w:eastAsia="Arial" w:hAnsi="Arial"/>
                <w:b/>
                <w:bCs/>
                <w:color w:val="0077B6"/>
                <w:sz w:val="22"/>
                <w:szCs w:val="22"/>
              </w:rPr>
              <w:t xml:space="preserve">Suggested response:</w:t>
            </w:r>
          </w:p>
          <w:p>
            <w:pPr>
              <w:spacing w:before="0" w:after="0"/>
            </w:pPr>
            <w:r>
              <w:rPr>
                <w:rFonts w:ascii="Arial" w:cs="Arial" w:eastAsia="Arial" w:hAnsi="Arial"/>
                <w:i/>
                <w:iCs/>
                <w:color w:val="1A1A2E"/>
                <w:sz w:val="22"/>
                <w:szCs w:val="22"/>
              </w:rPr>
              <w:t xml:space="preserve">"Honestly? Rather than tell you — let us show you. Give us your current processing volumes and we'll run a proper cost comparison. You'll see exactly what you'd pay with us and why. No obligation, no jargon. Just the numbers."</w:t>
            </w:r>
          </w:p>
        </w:tc>
      </w:tr>
    </w:tbl>
    <w:p>
      <w:pPr>
        <w:spacing w:before="120" w:after="0"/>
      </w:pPr>
    </w:p>
    <w:p>
      <w:pPr>
        <w:pStyle w:val="Heading1"/>
        <w:spacing w:before="400" w:after="160"/>
      </w:pPr>
      <w:r>
        <w:rPr>
          <w:rFonts w:ascii="Arial" w:cs="Arial" w:eastAsia="Arial" w:hAnsi="Arial"/>
          <w:b/>
          <w:bCs/>
          <w:color w:val="1B2B4B"/>
          <w:sz w:val="36"/>
          <w:szCs w:val="36"/>
        </w:rPr>
        <w:t xml:space="preserve">12. Document Control</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2B4B" w:val="clear"/>
            <w:tcMar>
              <w:top w:type="dxa" w:w="100"/>
              <w:left w:type="dxa" w:w="160"/>
              <w:bottom w:type="dxa" w:w="100"/>
              <w:right w:type="dxa" w:w="80"/>
            </w:tcMar>
          </w:tcPr>
          <w:p>
            <w:r>
              <w:rPr>
                <w:rFonts w:ascii="Arial" w:cs="Arial" w:eastAsia="Arial" w:hAnsi="Arial"/>
                <w:b/>
                <w:bCs/>
                <w:color w:val="FFFFFF"/>
                <w:sz w:val="20"/>
                <w:szCs w:val="20"/>
              </w:rPr>
              <w:t xml:space="preserve">Document owner</w:t>
            </w:r>
          </w:p>
        </w:tc>
        <w:tc>
          <w:tcPr>
            <w:tcW w:type="dxa" w:w="4413"/>
            <w:tcBorders>
              <w:top w:val="none" w:color="FFFFFF" w:sz="0"/>
              <w:left w:val="none" w:color="FFFFFF" w:sz="0"/>
              <w:bottom w:val="none" w:color="FFFFFF" w:sz="0"/>
              <w:right w:val="none" w:color="FFFFFF" w:sz="0"/>
            </w:tcBorders>
            <w:shd w:fill="1B2B4B" w:val="clear"/>
            <w:tcMar>
              <w:top w:type="dxa" w:w="100"/>
              <w:left w:type="dxa" w:w="80"/>
              <w:bottom w:type="dxa" w:w="100"/>
              <w:right w:type="dxa" w:w="160"/>
            </w:tcMar>
          </w:tcPr>
          <w:p>
            <w:r>
              <w:rPr>
                <w:rFonts w:ascii="Arial" w:cs="Arial" w:eastAsia="Arial" w:hAnsi="Arial"/>
                <w:b/>
                <w:bCs/>
                <w:color w:val="FFFFFF"/>
                <w:sz w:val="20"/>
                <w:szCs w:val="20"/>
              </w:rPr>
              <w:t xml:space="preserve">Version</w:t>
            </w:r>
          </w:p>
        </w:tc>
      </w:tr>
      <w:tr>
        <w:tc>
          <w:tcPr>
            <w:tcW w:type="dxa" w:w="4413"/>
            <w:tcBorders>
              <w:top w:val="none" w:color="FFFFFF" w:sz="0"/>
              <w:left w:val="none" w:color="FFFFFF" w:sz="0"/>
              <w:bottom w:val="none" w:color="FFFFFF" w:sz="0"/>
              <w:right w:val="none" w:color="FFFFFF" w:sz="0"/>
            </w:tcBorders>
            <w:shd w:fill="EEF4FB" w:val="clear"/>
            <w:tcMar>
              <w:top w:type="dxa" w:w="100"/>
              <w:left w:type="dxa" w:w="160"/>
              <w:bottom w:type="dxa" w:w="120"/>
              <w:right w:type="dxa" w:w="80"/>
            </w:tcMar>
          </w:tcPr>
          <w:p>
            <w:r>
              <w:rPr>
                <w:rFonts w:ascii="Arial" w:cs="Arial" w:eastAsia="Arial" w:hAnsi="Arial"/>
                <w:color w:val="1A1A2E"/>
                <w:sz w:val="20"/>
                <w:szCs w:val="20"/>
              </w:rPr>
              <w:t xml:space="preserve">Payhorizon — Commercial</w:t>
            </w:r>
          </w:p>
        </w:tc>
        <w:tc>
          <w:tcPr>
            <w:tcW w:type="dxa" w:w="4413"/>
            <w:tcBorders>
              <w:top w:val="none" w:color="FFFFFF" w:sz="0"/>
              <w:left w:val="none" w:color="FFFFFF" w:sz="0"/>
              <w:bottom w:val="none" w:color="FFFFFF" w:sz="0"/>
              <w:right w:val="none" w:color="FFFFFF" w:sz="0"/>
            </w:tcBorders>
            <w:shd w:fill="EEF4FB" w:val="clear"/>
            <w:tcMar>
              <w:top w:type="dxa" w:w="100"/>
              <w:left w:type="dxa" w:w="80"/>
              <w:bottom w:type="dxa" w:w="120"/>
              <w:right w:type="dxa" w:w="160"/>
            </w:tcMar>
          </w:tcPr>
          <w:p>
            <w:r>
              <w:rPr>
                <w:rFonts w:ascii="Arial" w:cs="Arial" w:eastAsia="Arial" w:hAnsi="Arial"/>
                <w:color w:val="1A1A2E"/>
                <w:sz w:val="20"/>
                <w:szCs w:val="20"/>
              </w:rPr>
              <w:t xml:space="preserve">1.0</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2B4B" w:val="clear"/>
            <w:tcMar>
              <w:top w:type="dxa" w:w="100"/>
              <w:left w:type="dxa" w:w="160"/>
              <w:bottom w:type="dxa" w:w="100"/>
              <w:right w:type="dxa" w:w="80"/>
            </w:tcMar>
          </w:tcPr>
          <w:p>
            <w:r>
              <w:rPr>
                <w:rFonts w:ascii="Arial" w:cs="Arial" w:eastAsia="Arial" w:hAnsi="Arial"/>
                <w:b/>
                <w:bCs/>
                <w:color w:val="FFFFFF"/>
                <w:sz w:val="20"/>
                <w:szCs w:val="20"/>
              </w:rPr>
              <w:t xml:space="preserve">Created</w:t>
            </w:r>
          </w:p>
        </w:tc>
        <w:tc>
          <w:tcPr>
            <w:tcW w:type="dxa" w:w="4413"/>
            <w:tcBorders>
              <w:top w:val="none" w:color="FFFFFF" w:sz="0"/>
              <w:left w:val="none" w:color="FFFFFF" w:sz="0"/>
              <w:bottom w:val="none" w:color="FFFFFF" w:sz="0"/>
              <w:right w:val="none" w:color="FFFFFF" w:sz="0"/>
            </w:tcBorders>
            <w:shd w:fill="1B2B4B" w:val="clear"/>
            <w:tcMar>
              <w:top w:type="dxa" w:w="100"/>
              <w:left w:type="dxa" w:w="80"/>
              <w:bottom w:type="dxa" w:w="100"/>
              <w:right w:type="dxa" w:w="160"/>
            </w:tcMar>
          </w:tcPr>
          <w:p>
            <w:r>
              <w:rPr>
                <w:rFonts w:ascii="Arial" w:cs="Arial" w:eastAsia="Arial" w:hAnsi="Arial"/>
                <w:b/>
                <w:bCs/>
                <w:color w:val="FFFFFF"/>
                <w:sz w:val="20"/>
                <w:szCs w:val="20"/>
              </w:rPr>
              <w:t xml:space="preserve">Next review</w:t>
            </w:r>
          </w:p>
        </w:tc>
      </w:tr>
      <w:tr>
        <w:tc>
          <w:tcPr>
            <w:tcW w:type="dxa" w:w="4413"/>
            <w:tcBorders>
              <w:top w:val="none" w:color="FFFFFF" w:sz="0"/>
              <w:left w:val="none" w:color="FFFFFF" w:sz="0"/>
              <w:bottom w:val="none" w:color="FFFFFF" w:sz="0"/>
              <w:right w:val="none" w:color="FFFFFF" w:sz="0"/>
            </w:tcBorders>
            <w:shd w:fill="EEF4FB" w:val="clear"/>
            <w:tcMar>
              <w:top w:type="dxa" w:w="100"/>
              <w:left w:type="dxa" w:w="160"/>
              <w:bottom w:type="dxa" w:w="120"/>
              <w:right w:type="dxa" w:w="80"/>
            </w:tcMar>
          </w:tcPr>
          <w:p>
            <w:r>
              <w:rPr>
                <w:rFonts w:ascii="Arial" w:cs="Arial" w:eastAsia="Arial" w:hAnsi="Arial"/>
                <w:color w:val="1A1A2E"/>
                <w:sz w:val="20"/>
                <w:szCs w:val="20"/>
              </w:rPr>
              <w:t xml:space="preserve">March 2026</w:t>
            </w:r>
          </w:p>
        </w:tc>
        <w:tc>
          <w:tcPr>
            <w:tcW w:type="dxa" w:w="4413"/>
            <w:tcBorders>
              <w:top w:val="none" w:color="FFFFFF" w:sz="0"/>
              <w:left w:val="none" w:color="FFFFFF" w:sz="0"/>
              <w:bottom w:val="none" w:color="FFFFFF" w:sz="0"/>
              <w:right w:val="none" w:color="FFFFFF" w:sz="0"/>
            </w:tcBorders>
            <w:shd w:fill="EEF4FB" w:val="clear"/>
            <w:tcMar>
              <w:top w:type="dxa" w:w="100"/>
              <w:left w:type="dxa" w:w="80"/>
              <w:bottom w:type="dxa" w:w="120"/>
              <w:right w:type="dxa" w:w="160"/>
            </w:tcMar>
          </w:tcPr>
          <w:p>
            <w:r>
              <w:rPr>
                <w:rFonts w:ascii="Arial" w:cs="Arial" w:eastAsia="Arial" w:hAnsi="Arial"/>
                <w:color w:val="1A1A2E"/>
                <w:sz w:val="20"/>
                <w:szCs w:val="20"/>
              </w:rPr>
              <w:t xml:space="preserve">September 2026</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1B2B4B" w:val="clear"/>
            <w:tcMar>
              <w:top w:type="dxa" w:w="100"/>
              <w:left w:type="dxa" w:w="160"/>
              <w:bottom w:type="dxa" w:w="100"/>
              <w:right w:type="dxa" w:w="80"/>
            </w:tcMar>
          </w:tcPr>
          <w:p>
            <w:r>
              <w:rPr>
                <w:rFonts w:ascii="Arial" w:cs="Arial" w:eastAsia="Arial" w:hAnsi="Arial"/>
                <w:b/>
                <w:bCs/>
                <w:color w:val="FFFFFF"/>
                <w:sz w:val="20"/>
                <w:szCs w:val="20"/>
              </w:rPr>
              <w:t xml:space="preserve">Status</w:t>
            </w:r>
          </w:p>
        </w:tc>
        <w:tc>
          <w:tcPr>
            <w:tcW w:type="dxa" w:w="4413"/>
            <w:tcBorders>
              <w:top w:val="none" w:color="FFFFFF" w:sz="0"/>
              <w:left w:val="none" w:color="FFFFFF" w:sz="0"/>
              <w:bottom w:val="none" w:color="FFFFFF" w:sz="0"/>
              <w:right w:val="none" w:color="FFFFFF" w:sz="0"/>
            </w:tcBorders>
            <w:shd w:fill="1B2B4B" w:val="clear"/>
            <w:tcMar>
              <w:top w:type="dxa" w:w="100"/>
              <w:left w:type="dxa" w:w="80"/>
              <w:bottom w:type="dxa" w:w="100"/>
              <w:right w:type="dxa" w:w="160"/>
            </w:tcMar>
          </w:tcPr>
          <w:p>
            <w:r>
              <w:rPr>
                <w:rFonts w:ascii="Arial" w:cs="Arial" w:eastAsia="Arial" w:hAnsi="Arial"/>
                <w:b/>
                <w:bCs/>
                <w:color w:val="FFFFFF"/>
                <w:sz w:val="20"/>
                <w:szCs w:val="20"/>
              </w:rPr>
              <w:t xml:space="preserve">Classification</w:t>
            </w:r>
          </w:p>
        </w:tc>
      </w:tr>
      <w:tr>
        <w:tc>
          <w:tcPr>
            <w:tcW w:type="dxa" w:w="4413"/>
            <w:tcBorders>
              <w:top w:val="none" w:color="FFFFFF" w:sz="0"/>
              <w:left w:val="none" w:color="FFFFFF" w:sz="0"/>
              <w:bottom w:val="none" w:color="FFFFFF" w:sz="0"/>
              <w:right w:val="none" w:color="FFFFFF" w:sz="0"/>
            </w:tcBorders>
            <w:shd w:fill="EEF4FB" w:val="clear"/>
            <w:tcMar>
              <w:top w:type="dxa" w:w="100"/>
              <w:left w:type="dxa" w:w="160"/>
              <w:bottom w:type="dxa" w:w="120"/>
              <w:right w:type="dxa" w:w="80"/>
            </w:tcMar>
          </w:tcPr>
          <w:p>
            <w:r>
              <w:rPr>
                <w:rFonts w:ascii="Arial" w:cs="Arial" w:eastAsia="Arial" w:hAnsi="Arial"/>
                <w:color w:val="1A1A2E"/>
                <w:sz w:val="20"/>
                <w:szCs w:val="20"/>
              </w:rPr>
              <w:t xml:space="preserve">Active</w:t>
            </w:r>
          </w:p>
        </w:tc>
        <w:tc>
          <w:tcPr>
            <w:tcW w:type="dxa" w:w="4413"/>
            <w:tcBorders>
              <w:top w:val="none" w:color="FFFFFF" w:sz="0"/>
              <w:left w:val="none" w:color="FFFFFF" w:sz="0"/>
              <w:bottom w:val="none" w:color="FFFFFF" w:sz="0"/>
              <w:right w:val="none" w:color="FFFFFF" w:sz="0"/>
            </w:tcBorders>
            <w:shd w:fill="EEF4FB" w:val="clear"/>
            <w:tcMar>
              <w:top w:type="dxa" w:w="100"/>
              <w:left w:type="dxa" w:w="80"/>
              <w:bottom w:type="dxa" w:w="120"/>
              <w:right w:type="dxa" w:w="160"/>
            </w:tcMar>
          </w:tcPr>
          <w:p>
            <w:r>
              <w:rPr>
                <w:rFonts w:ascii="Arial" w:cs="Arial" w:eastAsia="Arial" w:hAnsi="Arial"/>
                <w:color w:val="1A1A2E"/>
                <w:sz w:val="20"/>
                <w:szCs w:val="20"/>
              </w:rPr>
              <w:t xml:space="preserve">Confidential — Internal Only</w:t>
            </w:r>
          </w:p>
        </w:tc>
      </w:tr>
    </w:tbl>
    <w:p>
      <w:pPr>
        <w:spacing w:before="200" w:after="0"/>
      </w:pPr>
    </w:p>
    <w:p>
      <w:pPr>
        <w:spacing w:before="60" w:after="100"/>
      </w:pPr>
      <w:r>
        <w:rPr>
          <w:rFonts w:ascii="Arial" w:cs="Arial" w:eastAsia="Arial" w:hAnsi="Arial"/>
          <w:i/>
          <w:iCs/>
          <w:color w:val="888888"/>
          <w:sz w:val="22"/>
          <w:szCs w:val="22"/>
        </w:rPr>
        <w:t xml:space="preserve">This document supersedes any previous brand guidelines or positioning notes. All marketing, sales, and communications materials must be reviewed against this document before use.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4" w:space="4"/>
      </w:pBdr>
      <w:spacing w:before="120" w:after="0"/>
    </w:pPr>
    <w:r>
      <w:rPr>
        <w:rFonts w:ascii="Arial" w:cs="Arial" w:eastAsia="Arial" w:hAnsi="Arial"/>
        <w:color w:val="888888"/>
        <w:sz w:val="18"/>
        <w:szCs w:val="18"/>
      </w:rPr>
      <w:t xml:space="preserve">Payhorizon Ltd  |  payhorizon.co.uk  |  Internal Use Only  |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4" w:space="4"/>
      </w:pBdr>
      <w:spacing w:before="0" w:after="120"/>
    </w:pPr>
    <w:r>
      <w:rPr>
        <w:rFonts w:ascii="Arial" w:cs="Arial" w:eastAsia="Arial" w:hAnsi="Arial"/>
        <w:b/>
        <w:bCs/>
        <w:color w:val="1B2B4B"/>
        <w:sz w:val="20"/>
        <w:szCs w:val="20"/>
      </w:rPr>
      <w:t xml:space="preserve">PAYHORIZON  </w:t>
    </w:r>
    <w:r>
      <w:rPr>
        <w:rFonts w:ascii="Arial" w:cs="Arial" w:eastAsia="Arial" w:hAnsi="Arial"/>
        <w:color w:val="666666"/>
        <w:sz w:val="20"/>
        <w:szCs w:val="20"/>
      </w:rPr>
      <w:t xml:space="preserve">|  Brand &amp; Positioning Document</w:t>
    </w:r>
    <w:r>
      <w:rPr>
        <w:rFonts w:ascii="Arial" w:cs="Arial" w:eastAsia="Arial" w:hAnsi="Arial"/>
        <w:b/>
        <w:bCs/>
        <w:color w:val="0077B6"/>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B4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2026-03-05T16:56:57.965Z</dcterms:created>
  <dcterms:modified xsi:type="dcterms:W3CDTF">2026-03-05T16:56:57.966Z</dcterms:modified>
</cp:coreProperties>
</file>

<file path=docProps/custom.xml><?xml version="1.0" encoding="utf-8"?>
<Properties xmlns="http://schemas.openxmlformats.org/officeDocument/2006/custom-properties" xmlns:vt="http://schemas.openxmlformats.org/officeDocument/2006/docPropsVTypes"/>
</file>