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2E4057"/>
          <w:sz w:val="36"/>
          <w:szCs w:val="36"/>
        </w:rPr>
        <w:t xml:space="preserve">Fidora Toh</w:t>
      </w:r>
    </w:p>
    <w:p>
      <w:pPr>
        <w:spacing w:after="40" w:before="0"/>
        <w:jc w:val="center"/>
      </w:pPr>
      <w:r>
        <w:rPr>
          <w:rFonts w:ascii="Calibri" w:cs="Calibri" w:eastAsia="Calibri" w:hAnsi="Calibri"/>
          <w:sz w:val="18"/>
          <w:szCs w:val="18"/>
        </w:rPr>
        <w:t xml:space="preserve">9733 9394  |  fidoracv@gmail.com  |  Singaporean  |  Single</w:t>
      </w:r>
    </w:p>
    <w:p>
      <w:pPr>
        <w:spacing w:after="80" w:before="0"/>
        <w:jc w:val="center"/>
      </w:pPr>
      <w:r>
        <w:rPr>
          <w:rFonts w:ascii="Calibri" w:cs="Calibri" w:eastAsia="Calibri" w:hAnsi="Calibri"/>
          <w:b/>
          <w:bCs/>
          <w:sz w:val="18"/>
          <w:szCs w:val="18"/>
        </w:rPr>
        <w:t xml:space="preserve">Certified PMP  |  CSM  |  CSPO  |  ITIL4  |  Yellow Belt</w:t>
      </w:r>
    </w:p>
    <w:p>
      <w:pPr>
        <w:pBdr>
          <w:bottom w:val="single" w:color="2E4057" w:sz="6" w:space="1"/>
        </w:pBdr>
        <w:spacing w:after="60" w:before="160"/>
      </w:pPr>
      <w:r>
        <w:rPr>
          <w:rFonts w:ascii="Calibri" w:cs="Calibri" w:eastAsia="Calibri" w:hAnsi="Calibri"/>
          <w:b/>
          <w:bCs/>
          <w:color w:val="2E4057"/>
          <w:sz w:val="20"/>
          <w:szCs w:val="20"/>
        </w:rPr>
        <w:t xml:space="preserve">SUMMARY</w:t>
      </w:r>
    </w:p>
    <w:p>
      <w:pPr>
        <w:pStyle w:val="ListParagraph"/>
        <w:numPr>
          <w:ilvl w:val="0"/>
          <w:numId w:val="2"/>
        </w:numPr>
        <w:spacing w:after="20" w:before="20"/>
      </w:pPr>
      <w:r>
        <w:rPr>
          <w:rFonts w:ascii="Calibri" w:cs="Calibri" w:eastAsia="Calibri" w:hAnsi="Calibri"/>
          <w:b w:val="false"/>
          <w:bCs w:val="false"/>
          <w:sz w:val="18"/>
          <w:szCs w:val="18"/>
        </w:rPr>
        <w:t xml:space="preserve">Analysis and management applied to Client Service, Investment Banking/Retail, Futures, Options, Equities, OTC Clearing, and Collateral Management, Funds for over 14 years</w:t>
      </w:r>
    </w:p>
    <w:p>
      <w:pPr>
        <w:pStyle w:val="ListParagraph"/>
        <w:numPr>
          <w:ilvl w:val="0"/>
          <w:numId w:val="2"/>
        </w:numPr>
        <w:spacing w:after="20" w:before="20"/>
      </w:pPr>
      <w:r>
        <w:rPr>
          <w:rFonts w:ascii="Calibri" w:cs="Calibri" w:eastAsia="Calibri" w:hAnsi="Calibri"/>
          <w:b w:val="false"/>
          <w:bCs w:val="false"/>
          <w:sz w:val="18"/>
          <w:szCs w:val="18"/>
        </w:rPr>
        <w:t xml:space="preserve">Proven SME delivering complex client technology solutions, digital transformation programmes and enterprise system implementations across APAC and global markets.</w:t>
      </w:r>
    </w:p>
    <w:p>
      <w:pPr>
        <w:pStyle w:val="ListParagraph"/>
        <w:numPr>
          <w:ilvl w:val="0"/>
          <w:numId w:val="2"/>
        </w:numPr>
        <w:spacing w:after="20" w:before="20"/>
      </w:pPr>
      <w:r>
        <w:rPr>
          <w:rFonts w:ascii="Calibri" w:cs="Calibri" w:eastAsia="Calibri" w:hAnsi="Calibri"/>
          <w:b w:val="false"/>
          <w:bCs w:val="false"/>
          <w:sz w:val="18"/>
          <w:szCs w:val="18"/>
        </w:rPr>
        <w:t xml:space="preserve">Excellent communication skills with execs, business stakeholders, cross-functional teams, off-shore, on shore APAC and as a hub and IT</w:t>
      </w:r>
    </w:p>
    <w:p>
      <w:pPr>
        <w:pStyle w:val="ListParagraph"/>
        <w:numPr>
          <w:ilvl w:val="0"/>
          <w:numId w:val="2"/>
        </w:numPr>
        <w:spacing w:after="20" w:before="20"/>
      </w:pPr>
      <w:r>
        <w:rPr>
          <w:rFonts w:ascii="Calibri" w:cs="Calibri" w:eastAsia="Calibri" w:hAnsi="Calibri"/>
          <w:b w:val="false"/>
          <w:bCs w:val="false"/>
          <w:sz w:val="18"/>
          <w:szCs w:val="18"/>
        </w:rPr>
        <w:t xml:space="preserve">Currently advancing in Generative AI Solutions Development with personal hands-on project experience in Gen AI, Agentic AI, RAG-based systems, LangChain and LLM applications</w:t>
      </w:r>
    </w:p>
    <w:p>
      <w:pPr>
        <w:pBdr>
          <w:bottom w:val="single" w:color="2E4057" w:sz="6" w:space="1"/>
        </w:pBdr>
        <w:spacing w:after="60" w:before="160"/>
      </w:pPr>
      <w:r>
        <w:rPr>
          <w:rFonts w:ascii="Calibri" w:cs="Calibri" w:eastAsia="Calibri" w:hAnsi="Calibri"/>
          <w:b/>
          <w:bCs/>
          <w:color w:val="2E4057"/>
          <w:sz w:val="20"/>
          <w:szCs w:val="20"/>
        </w:rPr>
        <w:t xml:space="preserve">PROFESSIONAL EXPERIENCE</w:t>
      </w:r>
    </w:p>
    <w:p>
      <w:pPr>
        <w:spacing w:after="10" w:before="120"/>
      </w:pPr>
      <w:r>
        <w:rPr>
          <w:rFonts w:ascii="Calibri" w:cs="Calibri" w:eastAsia="Calibri" w:hAnsi="Calibri"/>
          <w:b/>
          <w:bCs/>
          <w:color w:val="2E4057"/>
          <w:sz w:val="20"/>
          <w:szCs w:val="20"/>
        </w:rPr>
        <w:t xml:space="preserve">National HealthTech Agency</w:t>
      </w:r>
    </w:p>
    <w:p>
      <w:pPr>
        <w:spacing w:after="20" w:before="0"/>
      </w:pPr>
      <w:r>
        <w:rPr>
          <w:rFonts w:ascii="Calibri" w:cs="Calibri" w:eastAsia="Calibri" w:hAnsi="Calibri"/>
          <w:b/>
          <w:bCs/>
          <w:sz w:val="18"/>
          <w:szCs w:val="18"/>
        </w:rPr>
        <w:t xml:space="preserve">IT Senior Business Analyst &amp; Project Manager  |  Dec 2021 – Current</w:t>
      </w:r>
    </w:p>
    <w:p>
      <w:pPr>
        <w:spacing w:after="20" w:before="80"/>
      </w:pPr>
      <w:r>
        <w:rPr>
          <w:rFonts w:ascii="Calibri" w:cs="Calibri" w:eastAsia="Calibri" w:hAnsi="Calibri"/>
          <w:b/>
          <w:bCs/>
          <w:i/>
          <w:iCs/>
          <w:color w:val="444444"/>
          <w:sz w:val="18"/>
          <w:szCs w:val="18"/>
        </w:rPr>
        <w:t xml:space="preserve">Strategy &amp; Planning Projects</w:t>
      </w:r>
    </w:p>
    <w:p>
      <w:pPr>
        <w:pStyle w:val="ListParagraph"/>
        <w:numPr>
          <w:ilvl w:val="0"/>
          <w:numId w:val="2"/>
        </w:numPr>
        <w:spacing w:after="20" w:before="20"/>
      </w:pPr>
      <w:r>
        <w:rPr>
          <w:rFonts w:ascii="Calibri" w:cs="Calibri" w:eastAsia="Calibri" w:hAnsi="Calibri"/>
          <w:b w:val="false"/>
          <w:bCs w:val="false"/>
          <w:sz w:val="18"/>
          <w:szCs w:val="18"/>
        </w:rPr>
        <w:t xml:space="preserve">Led enterprise data archival strategy for lifetime clinical and billing data across 4 systems, evaluating AWS S3 Glacier solutions with full cost-benefit analysis, ensuring compliance with government MAS regulations and national data governance frameworks. Manage offboarding of old system (data migration, cutover, decommission, national archival system) to new national system — NGEMR/NHIPS</w:t>
      </w:r>
    </w:p>
    <w:p>
      <w:pPr>
        <w:pStyle w:val="ListParagraph"/>
        <w:numPr>
          <w:ilvl w:val="0"/>
          <w:numId w:val="2"/>
        </w:numPr>
        <w:spacing w:after="20" w:before="20"/>
      </w:pPr>
      <w:r>
        <w:rPr>
          <w:rFonts w:ascii="Calibri" w:cs="Calibri" w:eastAsia="Calibri" w:hAnsi="Calibri"/>
          <w:b w:val="false"/>
          <w:bCs w:val="false"/>
          <w:sz w:val="18"/>
          <w:szCs w:val="18"/>
        </w:rPr>
        <w:t xml:space="preserve">Drove vendor management lifecycle covering contract negotiation, procurement, quotation and invoicing. Coordinated IT audits, SFTP/CDMS server migrations and cipher compatibility assessments. Delivered projects in hybrid Scrum-Waterfall environment, managing change requests, incident ticket backlog, service rostering and cross-team coordination across multiple concurrent workstreams</w:t>
      </w:r>
    </w:p>
    <w:p>
      <w:pPr>
        <w:spacing w:after="20" w:before="80"/>
      </w:pPr>
      <w:r>
        <w:rPr>
          <w:rFonts w:ascii="Calibri" w:cs="Calibri" w:eastAsia="Calibri" w:hAnsi="Calibri"/>
          <w:b/>
          <w:bCs/>
          <w:i/>
          <w:iCs/>
          <w:color w:val="444444"/>
          <w:sz w:val="18"/>
          <w:szCs w:val="18"/>
        </w:rPr>
        <w:t xml:space="preserve">Service Delivery &amp; Operations</w:t>
      </w:r>
    </w:p>
    <w:p>
      <w:pPr>
        <w:pStyle w:val="ListParagraph"/>
        <w:numPr>
          <w:ilvl w:val="0"/>
          <w:numId w:val="2"/>
        </w:numPr>
        <w:spacing w:after="20" w:before="20"/>
      </w:pPr>
      <w:r>
        <w:rPr>
          <w:rFonts w:ascii="Calibri" w:cs="Calibri" w:eastAsia="Calibri" w:hAnsi="Calibri"/>
          <w:b w:val="false"/>
          <w:bCs w:val="false"/>
          <w:sz w:val="18"/>
          <w:szCs w:val="18"/>
        </w:rPr>
        <w:t xml:space="preserve">Monitor database performance management including alerts/activities/userid logins, server patches, failover, monthly UAM reviews, DB performance tuning/reorg, disk expansion, password renewal. Managed mission-critical application support including 24/7 system health checks, incident recovery, disaster planning (EVMS, MRR alerts and KTLO daily health checks)</w:t>
      </w:r>
    </w:p>
    <w:p>
      <w:pPr>
        <w:spacing w:after="20" w:before="80"/>
      </w:pPr>
      <w:r>
        <w:rPr>
          <w:rFonts w:ascii="Calibri" w:cs="Calibri" w:eastAsia="Calibri" w:hAnsi="Calibri"/>
          <w:b/>
          <w:bCs/>
          <w:i/>
          <w:iCs/>
          <w:color w:val="444444"/>
          <w:sz w:val="18"/>
          <w:szCs w:val="18"/>
        </w:rPr>
        <w:t xml:space="preserve">Accomplishments</w:t>
      </w:r>
    </w:p>
    <w:p>
      <w:pPr>
        <w:pStyle w:val="ListParagraph"/>
        <w:numPr>
          <w:ilvl w:val="0"/>
          <w:numId w:val="2"/>
        </w:numPr>
        <w:spacing w:after="20" w:before="20"/>
      </w:pPr>
      <w:r>
        <w:rPr>
          <w:rFonts w:ascii="Calibri" w:cs="Calibri" w:eastAsia="Calibri" w:hAnsi="Calibri"/>
          <w:b w:val="false"/>
          <w:bCs w:val="false"/>
          <w:sz w:val="18"/>
          <w:szCs w:val="18"/>
        </w:rPr>
        <w:t xml:space="preserve">Contributed to NGEMR national digital transformation programme (S$1.5 billion initiative), coordinating a project team of 100 across system integration, data migration and go-live activities</w:t>
      </w:r>
    </w:p>
    <w:p>
      <w:pPr>
        <w:pStyle w:val="ListParagraph"/>
        <w:numPr>
          <w:ilvl w:val="0"/>
          <w:numId w:val="2"/>
        </w:numPr>
        <w:spacing w:after="20" w:before="20"/>
      </w:pPr>
      <w:r>
        <w:rPr>
          <w:rFonts w:ascii="Calibri" w:cs="Calibri" w:eastAsia="Calibri" w:hAnsi="Calibri"/>
          <w:b w:val="false"/>
          <w:bCs w:val="false"/>
          <w:sz w:val="18"/>
          <w:szCs w:val="18"/>
        </w:rPr>
        <w:t xml:space="preserve">Supported data extraction and migration workstreams for onboarding onto HEALIX — Synapxe's national cloud-native analytics platform built on AWS — enabling AI/ML and population health analytics across Singapore's entire public healthcare sector</w:t>
      </w:r>
    </w:p>
    <w:p>
      <w:pPr>
        <w:spacing w:after="0" w:before="0"/>
      </w:pPr>
      <w:r>
        <w:t xml:space="preserve"/>
      </w:r>
    </w:p>
    <w:p>
      <w:pPr>
        <w:spacing w:after="10" w:before="100"/>
      </w:pPr>
      <w:r>
        <w:rPr>
          <w:rFonts w:ascii="Calibri" w:cs="Calibri" w:eastAsia="Calibri" w:hAnsi="Calibri"/>
          <w:b/>
          <w:bCs/>
          <w:color w:val="2E4057"/>
          <w:sz w:val="20"/>
          <w:szCs w:val="20"/>
        </w:rPr>
        <w:t xml:space="preserve">Pan Europe Forensic Services (Financial)  |  Oct 2020 – Nov 2021</w:t>
      </w:r>
    </w:p>
    <w:p>
      <w:pPr>
        <w:spacing w:after="0" w:before="0"/>
      </w:pPr>
      <w:r>
        <w:t xml:space="preserve"/>
      </w:r>
    </w:p>
    <w:p>
      <w:pPr>
        <w:spacing w:after="10" w:before="100"/>
      </w:pPr>
      <w:r>
        <w:rPr>
          <w:rFonts w:ascii="Calibri" w:cs="Calibri" w:eastAsia="Calibri" w:hAnsi="Calibri"/>
          <w:b/>
          <w:bCs/>
          <w:color w:val="2E4057"/>
          <w:sz w:val="20"/>
          <w:szCs w:val="20"/>
        </w:rPr>
        <w:t xml:space="preserve">DBS Treasury, COO Office — Front Office</w:t>
      </w:r>
    </w:p>
    <w:p>
      <w:pPr>
        <w:spacing w:after="20" w:before="0"/>
      </w:pPr>
      <w:r>
        <w:rPr>
          <w:rFonts w:ascii="Calibri" w:cs="Calibri" w:eastAsia="Calibri" w:hAnsi="Calibri"/>
          <w:b/>
          <w:bCs/>
          <w:sz w:val="18"/>
          <w:szCs w:val="18"/>
        </w:rPr>
        <w:t xml:space="preserve">Business Analyst (NTT Data Consulting Assignment)  |  Jan – Jul 2020</w:t>
      </w:r>
    </w:p>
    <w:p>
      <w:pPr>
        <w:pStyle w:val="ListParagraph"/>
        <w:numPr>
          <w:ilvl w:val="0"/>
          <w:numId w:val="2"/>
        </w:numPr>
        <w:spacing w:after="20" w:before="20"/>
      </w:pPr>
      <w:r>
        <w:rPr>
          <w:rFonts w:ascii="Calibri" w:cs="Calibri" w:eastAsia="Calibri" w:hAnsi="Calibri"/>
          <w:b w:val="false"/>
          <w:bCs w:val="false"/>
          <w:sz w:val="18"/>
          <w:szCs w:val="18"/>
        </w:rPr>
        <w:t xml:space="preserve">Conducted business requirements gathering through structured stakeholder interviews with Front Office users and SMEs across Retail, Corporate, Wealth Management and Institutional client segment</w:t>
      </w:r>
    </w:p>
    <w:p>
      <w:pPr>
        <w:pStyle w:val="ListParagraph"/>
        <w:numPr>
          <w:ilvl w:val="0"/>
          <w:numId w:val="2"/>
        </w:numPr>
        <w:spacing w:after="20" w:before="20"/>
      </w:pPr>
      <w:r>
        <w:rPr>
          <w:rFonts w:ascii="Calibri" w:cs="Calibri" w:eastAsia="Calibri" w:hAnsi="Calibri"/>
          <w:b w:val="false"/>
          <w:bCs w:val="false"/>
          <w:sz w:val="18"/>
          <w:szCs w:val="18"/>
        </w:rPr>
        <w:t xml:space="preserve">Liaised with Operations, Technology and IT partners to translate business requirements into technical specifications ensuring solution design suitability and implementation</w:t>
      </w:r>
    </w:p>
    <w:p>
      <w:pPr>
        <w:pStyle w:val="ListParagraph"/>
        <w:numPr>
          <w:ilvl w:val="0"/>
          <w:numId w:val="2"/>
        </w:numPr>
        <w:spacing w:after="20" w:before="20"/>
      </w:pPr>
      <w:r>
        <w:rPr>
          <w:rFonts w:ascii="Calibri" w:cs="Calibri" w:eastAsia="Calibri" w:hAnsi="Calibri"/>
          <w:b w:val="false"/>
          <w:bCs w:val="false"/>
          <w:sz w:val="18"/>
          <w:szCs w:val="18"/>
        </w:rPr>
        <w:t xml:space="preserve">From BRD review, developed front-to-back UAT test scripts, coordinated testing cycles, gathered sign-offs and managed post-implementation go-live activities</w:t>
      </w:r>
    </w:p>
    <w:p>
      <w:pPr>
        <w:pStyle w:val="ListParagraph"/>
        <w:numPr>
          <w:ilvl w:val="0"/>
          <w:numId w:val="2"/>
        </w:numPr>
        <w:spacing w:after="20" w:before="20"/>
      </w:pPr>
      <w:r>
        <w:rPr>
          <w:rFonts w:ascii="Calibri" w:cs="Calibri" w:eastAsia="Calibri" w:hAnsi="Calibri"/>
          <w:b w:val="false"/>
          <w:bCs w:val="false"/>
          <w:sz w:val="18"/>
          <w:szCs w:val="18"/>
        </w:rPr>
        <w:t xml:space="preserve">Acted as Proxy Product Owner for the replatforming of CSFA (Client Sophistication and Financial Assessment), representing the Product Owner in requirements prioritisation and stakeholder coordination across client risk profiling workstreams in project kick-off</w:t>
      </w:r>
    </w:p>
    <w:p>
      <w:pPr>
        <w:spacing w:after="20" w:before="80"/>
      </w:pPr>
      <w:r>
        <w:rPr>
          <w:rFonts w:ascii="Calibri" w:cs="Calibri" w:eastAsia="Calibri" w:hAnsi="Calibri"/>
          <w:b/>
          <w:bCs/>
          <w:i/>
          <w:iCs/>
          <w:color w:val="444444"/>
          <w:sz w:val="18"/>
          <w:szCs w:val="18"/>
        </w:rPr>
        <w:t xml:space="preserve">Accomplishment</w:t>
      </w:r>
    </w:p>
    <w:p>
      <w:pPr>
        <w:pStyle w:val="ListParagraph"/>
        <w:numPr>
          <w:ilvl w:val="0"/>
          <w:numId w:val="2"/>
        </w:numPr>
        <w:spacing w:after="20" w:before="20"/>
      </w:pPr>
      <w:r>
        <w:rPr>
          <w:rFonts w:ascii="Calibri" w:cs="Calibri" w:eastAsia="Calibri" w:hAnsi="Calibri"/>
          <w:b w:val="false"/>
          <w:bCs w:val="false"/>
          <w:sz w:val="18"/>
          <w:szCs w:val="18"/>
        </w:rPr>
        <w:t xml:space="preserve">Served as Project Lead for (Treasury BMS team workstream) DBS FinTech Innovation Labs digital automation initiative, delivering bank-wide digitalisation aligned to enterprise low-touch strategy using Tableau, Chatbot, SharePoint workflow automation, OCR and third-party vendor systems — reducing manual touchpoints in alignment with DBS enterprise digital strategy</w:t>
      </w:r>
    </w:p>
    <w:p>
      <w:pPr>
        <w:spacing w:after="0" w:before="0"/>
      </w:pPr>
      <w:r>
        <w:t xml:space="preserve"/>
      </w:r>
    </w:p>
    <w:p>
      <w:pPr>
        <w:spacing w:after="10" w:before="100"/>
      </w:pPr>
      <w:r>
        <w:rPr>
          <w:rFonts w:ascii="Calibri" w:cs="Calibri" w:eastAsia="Calibri" w:hAnsi="Calibri"/>
          <w:b/>
          <w:bCs/>
          <w:color w:val="2E4057"/>
          <w:sz w:val="20"/>
          <w:szCs w:val="20"/>
        </w:rPr>
        <w:t xml:space="preserve">Bank of America Merrill Lynch — Futures &amp; OTC Clearing Client Services</w:t>
      </w:r>
    </w:p>
    <w:p>
      <w:pPr>
        <w:spacing w:after="20" w:before="0"/>
      </w:pPr>
      <w:r>
        <w:rPr>
          <w:rFonts w:ascii="Calibri" w:cs="Calibri" w:eastAsia="Calibri" w:hAnsi="Calibri"/>
          <w:b/>
          <w:bCs/>
          <w:sz w:val="18"/>
          <w:szCs w:val="18"/>
        </w:rPr>
        <w:t xml:space="preserve">Client Services Representative / Business Analyst (Contract)  |  Aug 2018 – Dec 2019</w:t>
      </w:r>
    </w:p>
    <w:p>
      <w:pPr>
        <w:pStyle w:val="ListParagraph"/>
        <w:numPr>
          <w:ilvl w:val="0"/>
          <w:numId w:val="2"/>
        </w:numPr>
        <w:spacing w:after="20" w:before="20"/>
      </w:pPr>
      <w:r>
        <w:rPr>
          <w:rFonts w:ascii="Calibri" w:cs="Calibri" w:eastAsia="Calibri" w:hAnsi="Calibri"/>
          <w:b w:val="false"/>
          <w:bCs w:val="false"/>
          <w:sz w:val="18"/>
          <w:szCs w:val="18"/>
        </w:rPr>
        <w:t xml:space="preserve">Managed Client DDQ for General Clearing Members to comply with MiFID</w:t>
      </w:r>
    </w:p>
    <w:p>
      <w:pPr>
        <w:pStyle w:val="ListParagraph"/>
        <w:numPr>
          <w:ilvl w:val="0"/>
          <w:numId w:val="2"/>
        </w:numPr>
        <w:spacing w:after="20" w:before="20"/>
      </w:pPr>
      <w:r>
        <w:rPr>
          <w:rFonts w:ascii="Calibri" w:cs="Calibri" w:eastAsia="Calibri" w:hAnsi="Calibri"/>
          <w:b w:val="false"/>
          <w:bCs w:val="false"/>
          <w:sz w:val="18"/>
          <w:szCs w:val="18"/>
        </w:rPr>
        <w:t xml:space="preserve">Led record retention regulatory policy rollout across local and global jurisdictions, ensuring adherence to Central Bank data protection frameworks including (Futures) Prime Brokerage operations</w:t>
      </w:r>
    </w:p>
    <w:p>
      <w:pPr>
        <w:pStyle w:val="ListParagraph"/>
        <w:numPr>
          <w:ilvl w:val="0"/>
          <w:numId w:val="2"/>
        </w:numPr>
        <w:spacing w:after="20" w:before="20"/>
      </w:pPr>
      <w:r>
        <w:rPr>
          <w:rFonts w:ascii="Calibri" w:cs="Calibri" w:eastAsia="Calibri" w:hAnsi="Calibri"/>
          <w:b w:val="false"/>
          <w:bCs w:val="false"/>
          <w:sz w:val="18"/>
          <w:szCs w:val="18"/>
        </w:rPr>
        <w:t xml:space="preserve">Oversaw (Futures) Prime Brokerage client relationship management covering commissions, closeouts, trade allocations, position limit monitoring, delivery/expiry notifications and client issue resolution (e.g. investigate trade/cash breaks). Supervised journal entry accuracy, and managed special operational requirements for institutional and clearing clients.</w:t>
      </w:r>
    </w:p>
    <w:p>
      <w:pPr>
        <w:pStyle w:val="ListParagraph"/>
        <w:numPr>
          <w:ilvl w:val="0"/>
          <w:numId w:val="2"/>
        </w:numPr>
        <w:spacing w:after="20" w:before="20"/>
      </w:pPr>
      <w:r>
        <w:rPr>
          <w:rFonts w:ascii="Calibri" w:cs="Calibri" w:eastAsia="Calibri" w:hAnsi="Calibri"/>
          <w:b w:val="false"/>
          <w:bCs w:val="false"/>
          <w:sz w:val="18"/>
          <w:szCs w:val="18"/>
        </w:rPr>
        <w:t xml:space="preserve">Managed end-to-end APAC institutional client onboarding onto BofA's Proofpoint Encryption secure messaging platform (SendSecure), coordinating client registration and access provisioning — ensuring all Futures and OTC Clearing communications containing sensitive financial data were transmitted through encrypted, audit-compliant channels in line with global cybersecurity and data protection standards</w:t>
      </w:r>
    </w:p>
    <w:p>
      <w:pPr>
        <w:spacing w:after="20" w:before="80"/>
      </w:pPr>
      <w:r>
        <w:rPr>
          <w:rFonts w:ascii="Calibri" w:cs="Calibri" w:eastAsia="Calibri" w:hAnsi="Calibri"/>
          <w:b/>
          <w:bCs/>
          <w:i/>
          <w:iCs/>
          <w:color w:val="444444"/>
          <w:sz w:val="18"/>
          <w:szCs w:val="18"/>
        </w:rPr>
        <w:t xml:space="preserve">Accomplishments</w:t>
      </w:r>
    </w:p>
    <w:p>
      <w:pPr>
        <w:pStyle w:val="ListParagraph"/>
        <w:numPr>
          <w:ilvl w:val="0"/>
          <w:numId w:val="2"/>
        </w:numPr>
        <w:spacing w:after="20" w:before="20"/>
      </w:pPr>
      <w:r>
        <w:rPr>
          <w:rFonts w:ascii="Calibri" w:cs="Calibri" w:eastAsia="Calibri" w:hAnsi="Calibri"/>
          <w:b w:val="false"/>
          <w:bCs w:val="false"/>
          <w:sz w:val="18"/>
          <w:szCs w:val="18"/>
        </w:rPr>
        <w:t xml:space="preserve">Managed account offboarding procedures to ensure global client account offboarding framework alignment (US, UK, APAC) covering all processes across Operations, Finance, Product Control and Middle Office to ensure full audit readiness and regulatory completeness</w:t>
      </w:r>
    </w:p>
    <w:p>
      <w:pPr>
        <w:pStyle w:val="ListParagraph"/>
        <w:numPr>
          <w:ilvl w:val="0"/>
          <w:numId w:val="2"/>
        </w:numPr>
        <w:spacing w:after="20" w:before="20"/>
      </w:pPr>
      <w:r>
        <w:rPr>
          <w:rFonts w:ascii="Calibri" w:cs="Calibri" w:eastAsia="Calibri" w:hAnsi="Calibri"/>
          <w:b w:val="false"/>
          <w:bCs w:val="false"/>
          <w:sz w:val="18"/>
          <w:szCs w:val="18"/>
        </w:rPr>
        <w:t xml:space="preserve">Identified RPA-eligible workflows during project kick-off and participated in Intelligent Automation initiative leveraging AI-powered email classification and routing — contributing to enterprise-wide straight-through processing improvement</w:t>
      </w:r>
    </w:p>
    <w:p>
      <w:pPr>
        <w:spacing w:after="0" w:before="0"/>
      </w:pPr>
      <w:r>
        <w:t xml:space="preserve"/>
      </w:r>
    </w:p>
    <w:p>
      <w:pPr>
        <w:spacing w:after="10" w:before="100"/>
      </w:pPr>
      <w:r>
        <w:rPr>
          <w:rFonts w:ascii="Calibri" w:cs="Calibri" w:eastAsia="Calibri" w:hAnsi="Calibri"/>
          <w:b/>
          <w:bCs/>
          <w:color w:val="2E4057"/>
          <w:sz w:val="20"/>
          <w:szCs w:val="20"/>
        </w:rPr>
        <w:t xml:space="preserve">HSBC Futures Clearing &amp; Collateral Services  |  HK Jul 2012 – Mar 2017  |  SG Jan 2011 – Jul 2012</w:t>
      </w:r>
    </w:p>
    <w:p>
      <w:pPr>
        <w:spacing w:after="20" w:before="0"/>
      </w:pPr>
      <w:r>
        <w:rPr>
          <w:rFonts w:ascii="Calibri" w:cs="Calibri" w:eastAsia="Calibri" w:hAnsi="Calibri"/>
          <w:b/>
          <w:bCs/>
          <w:sz w:val="18"/>
          <w:szCs w:val="18"/>
        </w:rPr>
        <w:t xml:space="preserve">APAC Lead Business Analyst &amp; Futures Client Technologist  |  APAC Region Collateral Change Manager</w:t>
      </w:r>
    </w:p>
    <w:p>
      <w:pPr>
        <w:spacing w:after="20" w:before="20"/>
      </w:pPr>
      <w:r>
        <w:rPr>
          <w:rFonts w:ascii="Calibri" w:cs="Calibri" w:eastAsia="Calibri" w:hAnsi="Calibri"/>
          <w:sz w:val="18"/>
          <w:szCs w:val="18"/>
        </w:rPr>
        <w:t xml:space="preserve">Manage APAC Collateral book of work involving various upstream and downstream functions within operations team</w:t>
      </w:r>
    </w:p>
    <w:p>
      <w:pPr>
        <w:spacing w:after="20" w:before="80"/>
      </w:pPr>
      <w:r>
        <w:rPr>
          <w:rFonts w:ascii="Calibri" w:cs="Calibri" w:eastAsia="Calibri" w:hAnsi="Calibri"/>
          <w:b/>
          <w:bCs/>
          <w:i/>
          <w:iCs/>
          <w:color w:val="444444"/>
          <w:sz w:val="18"/>
          <w:szCs w:val="18"/>
        </w:rPr>
        <w:t xml:space="preserve">Change Management</w:t>
      </w:r>
    </w:p>
    <w:p>
      <w:pPr>
        <w:pStyle w:val="ListParagraph"/>
        <w:numPr>
          <w:ilvl w:val="0"/>
          <w:numId w:val="2"/>
        </w:numPr>
        <w:spacing w:after="20" w:before="20"/>
      </w:pPr>
      <w:r>
        <w:rPr>
          <w:rFonts w:ascii="Calibri" w:cs="Calibri" w:eastAsia="Calibri" w:hAnsi="Calibri"/>
          <w:b w:val="false"/>
          <w:bCs w:val="false"/>
          <w:sz w:val="18"/>
          <w:szCs w:val="18"/>
        </w:rPr>
        <w:t xml:space="preserve">Managed APAC Collateral book of work across quarterly release cycles, delivering new products, system enhancements and change request impact assessments on collateral systems</w:t>
      </w:r>
    </w:p>
    <w:p>
      <w:pPr>
        <w:pStyle w:val="ListParagraph"/>
        <w:numPr>
          <w:ilvl w:val="0"/>
          <w:numId w:val="2"/>
        </w:numPr>
        <w:spacing w:after="20" w:before="20"/>
      </w:pPr>
      <w:r>
        <w:rPr>
          <w:rFonts w:ascii="Calibri" w:cs="Calibri" w:eastAsia="Calibri" w:hAnsi="Calibri"/>
          <w:b w:val="false"/>
          <w:bCs w:val="false"/>
          <w:sz w:val="18"/>
          <w:szCs w:val="18"/>
        </w:rPr>
        <w:t xml:space="preserve">Led APAC regional project delivery across HSBC APAC entities including subsidiary Hang Seng Bank, India, Taiwan, China, Japan, Korea, Singapore, Malaysia and Philippines, coordinating transversal group-wide initiatives originating from UK, US, Mexico and France</w:t>
      </w:r>
    </w:p>
    <w:p>
      <w:pPr>
        <w:pStyle w:val="ListParagraph"/>
        <w:numPr>
          <w:ilvl w:val="0"/>
          <w:numId w:val="2"/>
        </w:numPr>
        <w:spacing w:after="20" w:before="20"/>
      </w:pPr>
      <w:r>
        <w:rPr>
          <w:rFonts w:ascii="Calibri" w:cs="Calibri" w:eastAsia="Calibri" w:hAnsi="Calibri"/>
          <w:b w:val="false"/>
          <w:bCs w:val="false"/>
          <w:sz w:val="18"/>
          <w:szCs w:val="18"/>
        </w:rPr>
        <w:t xml:space="preserve">Directed cross-functional stakeholder engagement across (Front Office, Front Office project teams and IT, upstream project teams, collateral operations including Client Services, Client Valuation, Static Data, Reconciliation, Dispute and Investigation, downstream including Finance) — bridging upstream and downstream workstreams end-to-end</w:t>
      </w:r>
    </w:p>
    <w:p>
      <w:pPr>
        <w:pStyle w:val="ListParagraph"/>
        <w:numPr>
          <w:ilvl w:val="0"/>
          <w:numId w:val="2"/>
        </w:numPr>
        <w:spacing w:after="20" w:before="20"/>
      </w:pPr>
      <w:r>
        <w:rPr>
          <w:rFonts w:ascii="Calibri" w:cs="Calibri" w:eastAsia="Calibri" w:hAnsi="Calibri"/>
          <w:b w:val="false"/>
          <w:bCs w:val="false"/>
          <w:sz w:val="18"/>
          <w:szCs w:val="18"/>
        </w:rPr>
        <w:t xml:space="preserve">Represented APAC in Global Change Prioritisation forums, presenting business cases to senior leadership and securing resources for regional implementation</w:t>
      </w:r>
    </w:p>
    <w:p>
      <w:pPr>
        <w:pStyle w:val="ListParagraph"/>
        <w:numPr>
          <w:ilvl w:val="0"/>
          <w:numId w:val="2"/>
        </w:numPr>
        <w:spacing w:after="20" w:before="20"/>
      </w:pPr>
      <w:r>
        <w:rPr>
          <w:rFonts w:ascii="Calibri" w:cs="Calibri" w:eastAsia="Calibri" w:hAnsi="Calibri"/>
          <w:b w:val="false"/>
          <w:bCs w:val="false"/>
          <w:sz w:val="18"/>
          <w:szCs w:val="18"/>
        </w:rPr>
        <w:t xml:space="preserve">Gathered business requirements, drafted business requirement documents and specifications. Secured resources and monitoring, formulated UAT plan. Strict monitoring of complex UAT plan and sign-offs gathering. Risks and issue tracking and management, quality control checks. Chaired senior meetings with major stakeholders and business lines. Successfully administered pre and post go-live tasks and health checks</w:t>
      </w:r>
    </w:p>
    <w:p>
      <w:pPr>
        <w:spacing w:after="20" w:before="80"/>
      </w:pPr>
      <w:r>
        <w:rPr>
          <w:rFonts w:ascii="Calibri" w:cs="Calibri" w:eastAsia="Calibri" w:hAnsi="Calibri"/>
          <w:b/>
          <w:bCs/>
          <w:i/>
          <w:iCs/>
          <w:color w:val="444444"/>
          <w:sz w:val="18"/>
          <w:szCs w:val="18"/>
        </w:rPr>
        <w:t xml:space="preserve">Accomplishments</w:t>
      </w:r>
    </w:p>
    <w:p>
      <w:pPr>
        <w:pStyle w:val="ListParagraph"/>
        <w:numPr>
          <w:ilvl w:val="0"/>
          <w:numId w:val="2"/>
        </w:numPr>
        <w:spacing w:after="20" w:before="20"/>
      </w:pPr>
      <w:r>
        <w:rPr>
          <w:rFonts w:ascii="Calibri" w:cs="Calibri" w:eastAsia="Calibri" w:hAnsi="Calibri"/>
          <w:b w:val="false"/>
          <w:bCs w:val="false"/>
          <w:sz w:val="18"/>
          <w:szCs w:val="18"/>
        </w:rPr>
        <w:t xml:space="preserve">Delivered as part of overall bank-wide budget of USD 50M bank-wide client/customer asset ring-fencing programme, ensuring full regulatory compliance for segregation of customer assets across APAC entities as part of MAS regulation</w:t>
      </w:r>
    </w:p>
    <w:p>
      <w:pPr>
        <w:pStyle w:val="ListParagraph"/>
        <w:numPr>
          <w:ilvl w:val="0"/>
          <w:numId w:val="2"/>
        </w:numPr>
        <w:spacing w:after="20" w:before="20"/>
      </w:pPr>
      <w:r>
        <w:rPr>
          <w:rFonts w:ascii="Calibri" w:cs="Calibri" w:eastAsia="Calibri" w:hAnsi="Calibri"/>
          <w:b w:val="false"/>
          <w:bCs w:val="false"/>
          <w:sz w:val="18"/>
          <w:szCs w:val="18"/>
        </w:rPr>
        <w:t xml:space="preserve">Successfully implemented new subsidiary end-to-end from front-to-back operational workflows, coordinating system feeds across upstream and downstream functions including Finance, Credit, Risk and Liquidity</w:t>
      </w:r>
    </w:p>
    <w:p>
      <w:pPr>
        <w:pStyle w:val="ListParagraph"/>
        <w:numPr>
          <w:ilvl w:val="0"/>
          <w:numId w:val="2"/>
        </w:numPr>
        <w:spacing w:after="20" w:before="20"/>
      </w:pPr>
      <w:r>
        <w:rPr>
          <w:rFonts w:ascii="Calibri" w:cs="Calibri" w:eastAsia="Calibri" w:hAnsi="Calibri"/>
          <w:b w:val="false"/>
          <w:bCs w:val="false"/>
          <w:sz w:val="18"/>
          <w:szCs w:val="18"/>
        </w:rPr>
        <w:t xml:space="preserve">Led new system rollout across APAC region, managing a project team of 25 across multiple geographies and functions</w:t>
      </w:r>
    </w:p>
    <w:p>
      <w:pPr>
        <w:pStyle w:val="ListParagraph"/>
        <w:numPr>
          <w:ilvl w:val="0"/>
          <w:numId w:val="2"/>
        </w:numPr>
        <w:spacing w:after="20" w:before="20"/>
      </w:pPr>
      <w:r>
        <w:rPr>
          <w:rFonts w:ascii="Calibri" w:cs="Calibri" w:eastAsia="Calibri" w:hAnsi="Calibri"/>
          <w:b w:val="false"/>
          <w:bCs w:val="false"/>
          <w:sz w:val="18"/>
          <w:szCs w:val="18"/>
        </w:rPr>
        <w:t xml:space="preserve">Received formal commendation from Front Office for successful segregation of trade activity and trading accounts in compliance with new regulatory requirements</w:t>
      </w:r>
    </w:p>
    <w:p>
      <w:pPr>
        <w:spacing w:after="20" w:before="80"/>
      </w:pPr>
      <w:r>
        <w:rPr>
          <w:rFonts w:ascii="Calibri" w:cs="Calibri" w:eastAsia="Calibri" w:hAnsi="Calibri"/>
          <w:b/>
          <w:bCs/>
          <w:i/>
          <w:iCs/>
          <w:color w:val="444444"/>
          <w:sz w:val="18"/>
          <w:szCs w:val="18"/>
        </w:rPr>
        <w:t xml:space="preserve">APAC Region Futures Client Technology and Management Information Data Analytics</w:t>
      </w:r>
    </w:p>
    <w:p>
      <w:pPr>
        <w:spacing w:after="20" w:before="20"/>
      </w:pPr>
      <w:r>
        <w:rPr>
          <w:rFonts w:ascii="Calibri" w:cs="Calibri" w:eastAsia="Calibri" w:hAnsi="Calibri"/>
          <w:sz w:val="18"/>
          <w:szCs w:val="18"/>
        </w:rPr>
        <w:t xml:space="preserve">Manage client technology book of work as dedicated SME resource implementing client solutions</w:t>
      </w:r>
    </w:p>
    <w:p>
      <w:pPr>
        <w:spacing w:after="20" w:before="80"/>
      </w:pPr>
      <w:r>
        <w:rPr>
          <w:rFonts w:ascii="Calibri" w:cs="Calibri" w:eastAsia="Calibri" w:hAnsi="Calibri"/>
          <w:b/>
          <w:bCs/>
          <w:i/>
          <w:iCs/>
          <w:color w:val="444444"/>
          <w:sz w:val="18"/>
          <w:szCs w:val="18"/>
        </w:rPr>
        <w:t xml:space="preserve">Client Technology</w:t>
      </w:r>
    </w:p>
    <w:p>
      <w:pPr>
        <w:pStyle w:val="ListParagraph"/>
        <w:numPr>
          <w:ilvl w:val="0"/>
          <w:numId w:val="2"/>
        </w:numPr>
        <w:spacing w:after="20" w:before="20"/>
      </w:pPr>
      <w:r>
        <w:rPr>
          <w:rFonts w:ascii="Calibri" w:cs="Calibri" w:eastAsia="Calibri" w:hAnsi="Calibri"/>
          <w:b w:val="false"/>
          <w:bCs w:val="false"/>
          <w:sz w:val="18"/>
          <w:szCs w:val="18"/>
        </w:rPr>
        <w:t xml:space="preserve">Delivered end-to-end client technology solutions including trade activity feeds, P&amp;L statements, statutory reports and reconciliation tools, serving as dedicated SME for custom client integrations across the APAC futures and derivatives business</w:t>
      </w:r>
    </w:p>
    <w:p>
      <w:pPr>
        <w:pStyle w:val="ListParagraph"/>
        <w:numPr>
          <w:ilvl w:val="0"/>
          <w:numId w:val="2"/>
        </w:numPr>
        <w:spacing w:after="20" w:before="20"/>
      </w:pPr>
      <w:r>
        <w:rPr>
          <w:rFonts w:ascii="Calibri" w:cs="Calibri" w:eastAsia="Calibri" w:hAnsi="Calibri"/>
          <w:b w:val="false"/>
          <w:bCs w:val="false"/>
          <w:sz w:val="18"/>
          <w:szCs w:val="18"/>
        </w:rPr>
        <w:t xml:space="preserve">Plan client presentations and train both onshore and offshore teams in various systems</w:t>
      </w:r>
    </w:p>
    <w:p>
      <w:pPr>
        <w:pStyle w:val="ListParagraph"/>
        <w:numPr>
          <w:ilvl w:val="0"/>
          <w:numId w:val="2"/>
        </w:numPr>
        <w:spacing w:after="20" w:before="20"/>
      </w:pPr>
      <w:r>
        <w:rPr>
          <w:rFonts w:ascii="Calibri" w:cs="Calibri" w:eastAsia="Calibri" w:hAnsi="Calibri"/>
          <w:b w:val="false"/>
          <w:bCs w:val="false"/>
          <w:sz w:val="18"/>
          <w:szCs w:val="18"/>
        </w:rPr>
        <w:t xml:space="preserve">Led client-facing technology project delivery covering system upgrades, new product launches and new features and platform rollouts, managing full UAT lifecycle, go-live coordination and cross-functional stakeholder sign-off across onshore and offshore teams</w:t>
      </w:r>
    </w:p>
    <w:p>
      <w:pPr>
        <w:pStyle w:val="ListParagraph"/>
        <w:numPr>
          <w:ilvl w:val="0"/>
          <w:numId w:val="2"/>
        </w:numPr>
        <w:spacing w:after="20" w:before="20"/>
      </w:pPr>
      <w:r>
        <w:rPr>
          <w:rFonts w:ascii="Calibri" w:cs="Calibri" w:eastAsia="Calibri" w:hAnsi="Calibri"/>
          <w:b w:val="false"/>
          <w:bCs w:val="false"/>
          <w:sz w:val="18"/>
          <w:szCs w:val="18"/>
        </w:rPr>
        <w:t xml:space="preserve">Drove requirements gathering and stakeholder engagement with clients and senior business managers across cross-border, cross-functional teams, ensuring timely closure of action items and seamless change management execution</w:t>
      </w:r>
    </w:p>
    <w:p>
      <w:pPr>
        <w:spacing w:after="20" w:before="80"/>
      </w:pPr>
      <w:r>
        <w:rPr>
          <w:rFonts w:ascii="Calibri" w:cs="Calibri" w:eastAsia="Calibri" w:hAnsi="Calibri"/>
          <w:b/>
          <w:bCs/>
          <w:i/>
          <w:iCs/>
          <w:color w:val="444444"/>
          <w:sz w:val="18"/>
          <w:szCs w:val="18"/>
        </w:rPr>
        <w:t xml:space="preserve">Accomplishments</w:t>
      </w:r>
    </w:p>
    <w:p>
      <w:pPr>
        <w:pStyle w:val="ListParagraph"/>
        <w:numPr>
          <w:ilvl w:val="0"/>
          <w:numId w:val="2"/>
        </w:numPr>
        <w:spacing w:after="20" w:before="20"/>
      </w:pPr>
      <w:r>
        <w:rPr>
          <w:rFonts w:ascii="Calibri" w:cs="Calibri" w:eastAsia="Calibri" w:hAnsi="Calibri"/>
          <w:b w:val="false"/>
          <w:bCs w:val="false"/>
          <w:sz w:val="18"/>
          <w:szCs w:val="18"/>
        </w:rPr>
        <w:t xml:space="preserve">Achieved 80% reduction in client onboarding time (4 hours to 20 minutes per account) through process re-engineering, team training and development of standardised operating procedures to strengthen business continuity</w:t>
      </w:r>
    </w:p>
    <w:p>
      <w:pPr>
        <w:pStyle w:val="ListParagraph"/>
        <w:numPr>
          <w:ilvl w:val="0"/>
          <w:numId w:val="2"/>
        </w:numPr>
        <w:spacing w:after="20" w:before="20"/>
      </w:pPr>
      <w:r>
        <w:rPr>
          <w:rFonts w:ascii="Calibri" w:cs="Calibri" w:eastAsia="Calibri" w:hAnsi="Calibri"/>
          <w:b w:val="false"/>
          <w:bCs w:val="false"/>
          <w:sz w:val="18"/>
          <w:szCs w:val="18"/>
        </w:rPr>
        <w:t xml:space="preserve">Spearheaded rollout of new client-facing platforms and produced firm's first client web portal training programme, upskilling all user levels from operations staff to senior management across multiple geographies</w:t>
      </w:r>
    </w:p>
    <w:p>
      <w:pPr>
        <w:spacing w:after="20" w:before="80"/>
      </w:pPr>
      <w:r>
        <w:rPr>
          <w:rFonts w:ascii="Calibri" w:cs="Calibri" w:eastAsia="Calibri" w:hAnsi="Calibri"/>
          <w:b/>
          <w:bCs/>
          <w:i/>
          <w:iCs/>
          <w:color w:val="444444"/>
          <w:sz w:val="18"/>
          <w:szCs w:val="18"/>
        </w:rPr>
        <w:t xml:space="preserve">Internal Client Service &amp; Data Analytics</w:t>
      </w:r>
    </w:p>
    <w:p>
      <w:pPr>
        <w:pStyle w:val="ListParagraph"/>
        <w:numPr>
          <w:ilvl w:val="0"/>
          <w:numId w:val="2"/>
        </w:numPr>
        <w:spacing w:after="20" w:before="20"/>
      </w:pPr>
      <w:r>
        <w:rPr>
          <w:rFonts w:ascii="Calibri" w:cs="Calibri" w:eastAsia="Calibri" w:hAnsi="Calibri"/>
          <w:b w:val="false"/>
          <w:bCs w:val="false"/>
          <w:sz w:val="18"/>
          <w:szCs w:val="18"/>
        </w:rPr>
        <w:t xml:space="preserve">Defined and designed the automated trade and position reconciliation solution using RANtask, delivering operational risk reduction and eliminating 0.5 FTE through intelligent workflow automation for internal and exchange-facing trade/positions reconciliation</w:t>
      </w:r>
    </w:p>
    <w:p>
      <w:pPr>
        <w:pStyle w:val="ListParagraph"/>
        <w:numPr>
          <w:ilvl w:val="0"/>
          <w:numId w:val="2"/>
        </w:numPr>
        <w:spacing w:after="20" w:before="20"/>
      </w:pPr>
      <w:r>
        <w:rPr>
          <w:rFonts w:ascii="Calibri" w:cs="Calibri" w:eastAsia="Calibri" w:hAnsi="Calibri"/>
          <w:b w:val="false"/>
          <w:bCs w:val="false"/>
          <w:sz w:val="18"/>
          <w:szCs w:val="18"/>
        </w:rPr>
        <w:t xml:space="preserve">Designed reports to improve operational efficiencies, automate processes and improve controls via Business Objects. Reduced time spent from 13 hours to 10 minutes a month, automated and streamlined reports for Japan operational migration onto HK. Achieved cost reduction, time savings and increased capacity within the reconciliation team.</w:t>
      </w:r>
    </w:p>
    <w:p>
      <w:pPr>
        <w:spacing w:after="20" w:before="80"/>
      </w:pPr>
      <w:r>
        <w:rPr>
          <w:rFonts w:ascii="Calibri" w:cs="Calibri" w:eastAsia="Calibri" w:hAnsi="Calibri"/>
          <w:b/>
          <w:bCs/>
          <w:i/>
          <w:iCs/>
          <w:color w:val="444444"/>
          <w:sz w:val="18"/>
          <w:szCs w:val="18"/>
        </w:rPr>
        <w:t xml:space="preserve">Accomplishments</w:t>
      </w:r>
    </w:p>
    <w:p>
      <w:pPr>
        <w:pStyle w:val="ListParagraph"/>
        <w:numPr>
          <w:ilvl w:val="0"/>
          <w:numId w:val="2"/>
        </w:numPr>
        <w:spacing w:after="20" w:before="20"/>
      </w:pPr>
      <w:r>
        <w:rPr>
          <w:rFonts w:ascii="Calibri" w:cs="Calibri" w:eastAsia="Calibri" w:hAnsi="Calibri"/>
          <w:b w:val="false"/>
          <w:bCs w:val="false"/>
          <w:sz w:val="18"/>
          <w:szCs w:val="18"/>
        </w:rPr>
        <w:t xml:space="preserve">Yellow belt certified. Award HK GM operations recognition of continuous improvement</w:t>
      </w:r>
    </w:p>
    <w:p>
      <w:pPr>
        <w:pStyle w:val="ListParagraph"/>
        <w:numPr>
          <w:ilvl w:val="0"/>
          <w:numId w:val="2"/>
        </w:numPr>
        <w:spacing w:after="20" w:before="20"/>
      </w:pPr>
      <w:r>
        <w:rPr>
          <w:rFonts w:ascii="Calibri" w:cs="Calibri" w:eastAsia="Calibri" w:hAnsi="Calibri"/>
          <w:b w:val="false"/>
          <w:bCs w:val="false"/>
          <w:sz w:val="18"/>
          <w:szCs w:val="18"/>
        </w:rPr>
        <w:t xml:space="preserve">Spearheaded gap analysis and decommissioned 550 reports before other regions (UK, US), making APAC 5 months ahead of schedule and an example to follow</w:t>
      </w:r>
    </w:p>
    <w:p>
      <w:pPr>
        <w:pStyle w:val="ListParagraph"/>
        <w:numPr>
          <w:ilvl w:val="0"/>
          <w:numId w:val="2"/>
        </w:numPr>
        <w:spacing w:after="20" w:before="20"/>
      </w:pPr>
      <w:r>
        <w:rPr>
          <w:rFonts w:ascii="Calibri" w:cs="Calibri" w:eastAsia="Calibri" w:hAnsi="Calibri"/>
          <w:b w:val="false"/>
          <w:bCs w:val="false"/>
          <w:sz w:val="18"/>
          <w:szCs w:val="18"/>
        </w:rPr>
        <w:t xml:space="preserve">Served as MI Systems SME across Business Objects, XTP Flex Reporting and RANtask, delivering management information and revenue analytics to support C-suite and front office decision-making</w:t>
      </w:r>
    </w:p>
    <w:p>
      <w:pPr>
        <w:pStyle w:val="ListParagraph"/>
        <w:numPr>
          <w:ilvl w:val="0"/>
          <w:numId w:val="2"/>
        </w:numPr>
        <w:spacing w:after="20" w:before="20"/>
      </w:pPr>
      <w:r>
        <w:rPr>
          <w:rFonts w:ascii="Calibri" w:cs="Calibri" w:eastAsia="Calibri" w:hAnsi="Calibri"/>
          <w:b w:val="false"/>
          <w:bCs w:val="false"/>
          <w:sz w:val="18"/>
          <w:szCs w:val="18"/>
        </w:rPr>
        <w:t xml:space="preserve">Designed automated FX reconciliation workflow saving 2 hours daily; implemented scalable client communication templates and built centralised client profiling tool, earning formal commendation from firm's largest institutional client account</w:t>
      </w:r>
    </w:p>
    <w:p>
      <w:pPr>
        <w:pBdr>
          <w:bottom w:val="single" w:color="2E4057" w:sz="6" w:space="1"/>
        </w:pBdr>
        <w:spacing w:after="60" w:before="160"/>
      </w:pPr>
      <w:r>
        <w:rPr>
          <w:rFonts w:ascii="Calibri" w:cs="Calibri" w:eastAsia="Calibri" w:hAnsi="Calibri"/>
          <w:b/>
          <w:bCs/>
          <w:color w:val="2E4057"/>
          <w:sz w:val="20"/>
          <w:szCs w:val="20"/>
        </w:rPr>
        <w:t xml:space="preserve">AI PROJECTS (PERSONAL PORTFOLIO)</w:t>
      </w:r>
    </w:p>
    <w:p>
      <w:pPr>
        <w:spacing w:after="20" w:before="60"/>
      </w:pPr>
      <w:r>
        <w:rPr>
          <w:rFonts w:ascii="Calibri" w:cs="Calibri" w:eastAsia="Calibri" w:hAnsi="Calibri"/>
          <w:b/>
          <w:bCs/>
          <w:i/>
          <w:iCs/>
          <w:sz w:val="18"/>
          <w:szCs w:val="18"/>
        </w:rPr>
        <w:t xml:space="preserve">Specialist Diploma in AI Solutions Development, Temasek Polytechnic (2025–2026)</w:t>
      </w:r>
    </w:p>
    <w:p>
      <w:pPr>
        <w:spacing w:after="10" w:before="40"/>
      </w:pPr>
      <w:r>
        <w:rPr>
          <w:rFonts w:ascii="Calibri" w:cs="Calibri" w:eastAsia="Calibri" w:hAnsi="Calibri"/>
          <w:b/>
          <w:bCs/>
          <w:sz w:val="18"/>
          <w:szCs w:val="18"/>
        </w:rPr>
        <w:t xml:space="preserve">Agentic Credit Card Recommender Chatbot (RAG-based)</w:t>
      </w:r>
      <w:r>
        <w:rPr>
          <w:rFonts w:ascii="Calibri" w:cs="Calibri" w:eastAsia="Calibri" w:hAnsi="Calibri"/>
          <w:color w:val="1155CC"/>
          <w:sz w:val="18"/>
          <w:szCs w:val="18"/>
        </w:rPr>
        <w:t xml:space="preserve">  |  github.com/fidoracv/credit-card-recommender-rag</w:t>
      </w:r>
    </w:p>
    <w:p>
      <w:pPr>
        <w:pStyle w:val="ListParagraph"/>
        <w:numPr>
          <w:ilvl w:val="0"/>
          <w:numId w:val="2"/>
        </w:numPr>
        <w:spacing w:after="20" w:before="20"/>
      </w:pPr>
      <w:r>
        <w:rPr>
          <w:rFonts w:ascii="Calibri" w:cs="Calibri" w:eastAsia="Calibri" w:hAnsi="Calibri"/>
          <w:b w:val="false"/>
          <w:bCs w:val="false"/>
          <w:sz w:val="18"/>
          <w:szCs w:val="18"/>
        </w:rPr>
        <w:t xml:space="preserve">Built a rule-based agentic RAG chatbot recommending personalised credit cards based on customer spending profiles (income, age, spending categories, reward preferences) using LangChain, ChromaDB and Ollama</w:t>
      </w:r>
    </w:p>
    <w:p>
      <w:pPr>
        <w:spacing w:after="10" w:before="40"/>
      </w:pPr>
      <w:r>
        <w:rPr>
          <w:rFonts w:ascii="Calibri" w:cs="Calibri" w:eastAsia="Calibri" w:hAnsi="Calibri"/>
          <w:b/>
          <w:bCs/>
          <w:sz w:val="18"/>
          <w:szCs w:val="18"/>
        </w:rPr>
        <w:t xml:space="preserve">Agentic AI Birthday Planner</w:t>
      </w:r>
      <w:r>
        <w:rPr>
          <w:rFonts w:ascii="Calibri" w:cs="Calibri" w:eastAsia="Calibri" w:hAnsi="Calibri"/>
          <w:color w:val="1155CC"/>
          <w:sz w:val="18"/>
          <w:szCs w:val="18"/>
        </w:rPr>
        <w:t xml:space="preserve">  |  github.com/fidoracv/Birthday-planner</w:t>
      </w:r>
    </w:p>
    <w:p>
      <w:pPr>
        <w:pStyle w:val="ListParagraph"/>
        <w:numPr>
          <w:ilvl w:val="0"/>
          <w:numId w:val="2"/>
        </w:numPr>
        <w:spacing w:after="20" w:before="20"/>
      </w:pPr>
      <w:r>
        <w:rPr>
          <w:rFonts w:ascii="Calibri" w:cs="Calibri" w:eastAsia="Calibri" w:hAnsi="Calibri"/>
          <w:b w:val="false"/>
          <w:bCs w:val="false"/>
          <w:sz w:val="18"/>
          <w:szCs w:val="18"/>
        </w:rPr>
        <w:t xml:space="preserve">Developed an agentic AI birthday party planner implementing ReAct (Reasoning + Acting) pattern with Human-in-the-Loop (HITL) workflow for interactive, multi-step decision making</w:t>
      </w:r>
    </w:p>
    <w:p>
      <w:pPr>
        <w:pBdr>
          <w:bottom w:val="single" w:color="2E4057" w:sz="6" w:space="1"/>
        </w:pBdr>
        <w:spacing w:after="60" w:before="160"/>
      </w:pPr>
      <w:r>
        <w:rPr>
          <w:rFonts w:ascii="Calibri" w:cs="Calibri" w:eastAsia="Calibri" w:hAnsi="Calibri"/>
          <w:b/>
          <w:bCs/>
          <w:color w:val="2E4057"/>
          <w:sz w:val="20"/>
          <w:szCs w:val="20"/>
        </w:rPr>
        <w:t xml:space="preserve">EDUCATION &amp; QUALIFICATIONS</w:t>
      </w:r>
    </w:p>
    <w:p>
      <w:pPr>
        <w:spacing w:after="30" w:before="60"/>
      </w:pPr>
      <w:r>
        <w:rPr>
          <w:rFonts w:ascii="Calibri" w:cs="Calibri" w:eastAsia="Calibri" w:hAnsi="Calibri"/>
          <w:b/>
          <w:bCs/>
          <w:sz w:val="18"/>
          <w:szCs w:val="18"/>
        </w:rPr>
        <w:t xml:space="preserve">Bachelor of Computer Science</w:t>
      </w:r>
      <w:r>
        <w:rPr>
          <w:rFonts w:ascii="Calibri" w:cs="Calibri" w:eastAsia="Calibri" w:hAnsi="Calibri"/>
          <w:sz w:val="18"/>
          <w:szCs w:val="18"/>
        </w:rPr>
        <w:t xml:space="preserve">   National University of Singapore (NUS)</w:t>
      </w:r>
    </w:p>
    <w:p>
      <w:pPr>
        <w:spacing w:after="30" w:before="30"/>
      </w:pPr>
      <w:r>
        <w:rPr>
          <w:rFonts w:ascii="Calibri" w:cs="Calibri" w:eastAsia="Calibri" w:hAnsi="Calibri"/>
          <w:b/>
          <w:bCs/>
          <w:sz w:val="18"/>
          <w:szCs w:val="18"/>
        </w:rPr>
        <w:t xml:space="preserve">Specialist Diploma in AI Solutions Development</w:t>
      </w:r>
      <w:r>
        <w:rPr>
          <w:rFonts w:ascii="Calibri" w:cs="Calibri" w:eastAsia="Calibri" w:hAnsi="Calibri"/>
          <w:sz w:val="18"/>
          <w:szCs w:val="18"/>
        </w:rPr>
        <w:t xml:space="preserve">   Temasek Polytechnic (2025–2026)</w:t>
      </w:r>
    </w:p>
    <w:p>
      <w:pPr>
        <w:spacing w:after="30" w:before="30"/>
      </w:pPr>
      <w:r>
        <w:rPr>
          <w:rFonts w:ascii="Calibri" w:cs="Calibri" w:eastAsia="Calibri" w:hAnsi="Calibri"/>
          <w:b/>
          <w:bCs/>
          <w:sz w:val="18"/>
          <w:szCs w:val="18"/>
        </w:rPr>
        <w:t xml:space="preserve">Specialist Diploma in Information Security and Forensic</w:t>
      </w:r>
      <w:r>
        <w:rPr>
          <w:rFonts w:ascii="Calibri" w:cs="Calibri" w:eastAsia="Calibri" w:hAnsi="Calibri"/>
          <w:i/>
          <w:iCs/>
          <w:sz w:val="18"/>
          <w:szCs w:val="18"/>
        </w:rPr>
        <w:t xml:space="preserve">   Temasek Polytechnic (On Going)</w:t>
      </w:r>
    </w:p>
    <w:p>
      <w:pPr>
        <w:pBdr>
          <w:bottom w:val="single" w:color="2E4057" w:sz="6" w:space="1"/>
        </w:pBdr>
        <w:spacing w:after="60" w:before="160"/>
      </w:pPr>
      <w:r>
        <w:rPr>
          <w:rFonts w:ascii="Calibri" w:cs="Calibri" w:eastAsia="Calibri" w:hAnsi="Calibri"/>
          <w:b/>
          <w:bCs/>
          <w:color w:val="2E4057"/>
          <w:sz w:val="20"/>
          <w:szCs w:val="20"/>
        </w:rPr>
        <w:t xml:space="preserve">BUSINESS &amp; TECHNICAL EXPERTISE</w:t>
      </w:r>
    </w:p>
    <w:p>
      <w:pPr>
        <w:spacing w:after="20" w:before="60"/>
      </w:pPr>
      <w:r>
        <w:rPr>
          <w:rFonts w:ascii="Calibri" w:cs="Calibri" w:eastAsia="Calibri" w:hAnsi="Calibri"/>
          <w:b/>
          <w:bCs/>
          <w:sz w:val="18"/>
          <w:szCs w:val="18"/>
        </w:rPr>
        <w:t xml:space="preserve">Systems: </w:t>
      </w:r>
      <w:r>
        <w:rPr>
          <w:rFonts w:ascii="Calibri" w:cs="Calibri" w:eastAsia="Calibri" w:hAnsi="Calibri"/>
          <w:sz w:val="18"/>
          <w:szCs w:val="18"/>
        </w:rPr>
        <w:t xml:space="preserve">SAP Business Objects, Rolfe &amp; Nolan RANtask, Ransys, XTP, Futures Direct, ARC, Algo NCOMS, Sunguard Intellimatch, Microsoft Visio, Clarity project management tool, Multifonds, MCH, GMI Sunguard, JIRA, EGUS, Tableau, Sharepoint, Quality Centre (Defects tracking tool), ServiceNow, HL7, SQL, Python, Jupyter Notebook, LangChain, ChromaDB, Ollama (Llama 3.2), Gradio, RAG (Retrieval-Augmented Generation), Prompt Engineering, GitHub, AWS (S3, Glue, Athena, SageMaker, CloudWatch, IAM, EC2)</w:t>
      </w:r>
    </w:p>
    <w:p>
      <w:pPr>
        <w:spacing w:after="20" w:before="20"/>
      </w:pPr>
      <w:r>
        <w:rPr>
          <w:rFonts w:ascii="Calibri" w:cs="Calibri" w:eastAsia="Calibri" w:hAnsi="Calibri"/>
          <w:b/>
          <w:bCs/>
          <w:sz w:val="18"/>
          <w:szCs w:val="18"/>
        </w:rPr>
        <w:t xml:space="preserve">Languages: </w:t>
      </w:r>
      <w:r>
        <w:rPr>
          <w:rFonts w:ascii="Calibri" w:cs="Calibri" w:eastAsia="Calibri" w:hAnsi="Calibri"/>
          <w:sz w:val="18"/>
          <w:szCs w:val="18"/>
        </w:rPr>
        <w:t xml:space="preserve">Native English, Fluent Mandarin, Basic Cantonese</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2026-06-13T23:03:24.605Z</dcterms:created>
  <dcterms:modified xsi:type="dcterms:W3CDTF">2026-06-13T23:03:24.606Z</dcterms:modified>
</cp:coreProperties>
</file>

<file path=docProps/custom.xml><?xml version="1.0" encoding="utf-8"?>
<Properties xmlns="http://schemas.openxmlformats.org/officeDocument/2006/custom-properties" xmlns:vt="http://schemas.openxmlformats.org/officeDocument/2006/docPropsVTypes"/>
</file>