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200" w:after="120" w:line="240" w:lineRule="auto"/>
      </w:pPr>
      <w:r>
        <w:rPr>
          <w:b/>
          <w:color w:val="1A4D2E"/>
          <w:sz w:val="30"/>
          <w:szCs w:val="30"/>
        </w:rPr>
        <w:t xml:space="preserve">KEPUTUSAN PERINGKAT KURSUS — K3</w:t>
      </w:r>
    </w:p>
    <w:p>
      <w:pPr>
        <w:spacing w:before="0" w:after="160" w:line="240" w:lineRule="auto"/>
      </w:pPr>
      <w:r>
        <w:rPr>
          <w:sz w:val="20"/>
          <w:szCs w:val="20"/>
        </w:rPr>
        <w:t xml:space="preserve">Dokumen: K3_Keputusan_Peringkat_Kursus_v0_1.docx</w:t>
      </w:r>
    </w:p>
    <w:p>
      <w:pPr>
        <w:spacing w:before="0" w:after="160" w:line="240" w:lineRule="auto"/>
      </w:pPr>
      <w:r>
        <w:rPr>
          <w:sz w:val="20"/>
          <w:szCs w:val="20"/>
        </w:rPr>
        <w:t xml:space="preserve">Kursus: Kerja Penstabilan Tanah  |  Kod bidang: CE30</w:t>
      </w:r>
    </w:p>
    <w:p>
      <w:pPr>
        <w:spacing w:before="0" w:after="160" w:line="240" w:lineRule="auto"/>
      </w:pPr>
      <w:r>
        <w:rPr>
          <w:sz w:val="20"/>
          <w:szCs w:val="20"/>
        </w:rPr>
        <w:t xml:space="preserve">Status: PENDING_BARIAH_REVIEW  |  Untuk: Bariah (Instructional Designer)</w:t>
      </w:r>
    </w:p>
    <w:p>
      <w:pPr>
        <w:spacing w:before="0" w:after="160" w:line="240" w:lineRule="auto"/>
      </w:pPr>
      <w:r>
        <w:rPr>
          <w:sz w:val="20"/>
          <w:szCs w:val="20"/>
        </w:rPr>
        <w:t xml:space="preserve">Peringkat: 4.2F-D  |  Authority sumber: SRC-AUTH-01</w:t>
      </w:r>
    </w:p>
    <w:p>
      <w:pPr>
        <w:spacing w:before="0" w:after="120" w:line="240" w:lineRule="auto"/>
      </w:pPr>
      <w:r>
        <w:rPr>
          <w:sz w:val="20"/>
          <w:szCs w:val="20"/>
        </w:rPr>
        <w:t xml:space="preserve">Dokumen ini BUKAN kelulusan. Ia menjadi authority hanya selepas Bariah menandatangani pilihan di bawah.</w:t>
      </w:r>
    </w:p>
    <w:p>
      <w:pPr>
        <w:keepNext/>
        <w:spacing w:before="200" w:after="120" w:line="240" w:lineRule="auto"/>
      </w:pPr>
      <w:r>
        <w:rPr>
          <w:b/>
          <w:color w:val="1A4D2E"/>
          <w:sz w:val="24"/>
          <w:szCs w:val="24"/>
        </w:rPr>
        <w:t xml:space="preserve">K3-COURSE-01 — Rawatan penilaian bagi kursus K3</w:t>
      </w:r>
    </w:p>
    <w:p>
      <w:pPr>
        <w:spacing w:before="0" w:after="120" w:line="240" w:lineRule="auto"/>
      </w:pPr>
      <w:r>
        <w:rPr>
          <w:sz w:val="20"/>
          <w:szCs w:val="20"/>
        </w:rPr>
        <w:t xml:space="preserve">Apa yang sumber tunjukkan (dibaca daripada kesembilan-sembilan pakej, bukan dianggarkan):</w:t>
      </w:r>
    </w:p>
    <w:p>
      <w:pPr>
        <w:spacing w:before="0" w:after="40" w:line="240" w:lineRule="auto"/>
        <w:ind w:left="200"/>
      </w:pPr>
      <w:r>
        <w:rPr>
          <w:sz w:val="20"/>
          <w:szCs w:val="20"/>
        </w:rPr>
        <w:t xml:space="preserve">•  9 pakej K3, kesemuanya telah dibaca penuh, merangkumi 6 modul (M01, M02, M03, M04, M05, M06), 216 muka surat.</w:t>
      </w:r>
    </w:p>
    <w:p>
      <w:pPr>
        <w:spacing w:before="0" w:after="40" w:line="240" w:lineRule="auto"/>
        <w:ind w:left="200"/>
      </w:pPr>
      <w:r>
        <w:rPr>
          <w:sz w:val="20"/>
          <w:szCs w:val="20"/>
        </w:rPr>
        <w:t xml:space="preserve">•  Setiap pakej membawa LATIHAN dan SKEMA JAWAPAN tersendiri — soalan esei pendek, 15 minit.</w:t>
      </w:r>
    </w:p>
    <w:p>
      <w:pPr>
        <w:spacing w:before="0" w:after="40" w:line="240" w:lineRule="auto"/>
        <w:ind w:left="200"/>
      </w:pPr>
      <w:r>
        <w:rPr>
          <w:sz w:val="20"/>
          <w:szCs w:val="20"/>
        </w:rPr>
        <w:t xml:space="preserve">•  Bilangan soalan TIDAK seragam: 7 pakej ada 5 soalan, 2 pakej (PL01, PL03) ada 3. Jumlah 41 soalan.</w:t>
      </w:r>
    </w:p>
    <w:p>
      <w:pPr>
        <w:spacing w:before="0" w:after="40" w:line="240" w:lineRule="auto"/>
        <w:ind w:left="200"/>
      </w:pPr>
      <w:r>
        <w:rPr>
          <w:sz w:val="20"/>
          <w:szCs w:val="20"/>
        </w:rPr>
        <w:t xml:space="preserve">•  Bentuk skema TIDAK seragam: 4 struktur berbeza di bawah 6 label — senarai berbutir: PL05, PL08; prosa: PL04, PL07, PL09; rubrik bermarkah: PL03; jadual dua lajur: PL01, PL02, PL06.</w:t>
      </w:r>
    </w:p>
    <w:p>
      <w:pPr>
        <w:spacing w:before="0" w:after="40" w:line="240" w:lineRule="auto"/>
        <w:ind w:left="200"/>
      </w:pPr>
      <w:r>
        <w:rPr>
          <w:sz w:val="20"/>
          <w:szCs w:val="20"/>
        </w:rPr>
        <w:t xml:space="preserve">•  PL03 bukan jawapan model. Ia rubrik pemarkahan (2 + 4 + 4 = 10 markah setiap soalan) — arahan kepada pemeriksa, bukan jawapan yang boleh ditunjukkan kepada pelajar.</w:t>
      </w:r>
    </w:p>
    <w:p>
      <w:pPr>
        <w:spacing w:before="0" w:after="40" w:line="240" w:lineRule="auto"/>
        <w:ind w:left="200"/>
      </w:pPr>
      <w:r>
        <w:rPr>
          <w:sz w:val="20"/>
          <w:szCs w:val="20"/>
        </w:rPr>
        <w:t xml:space="preserve">•  Kursus K5 menggunakan 4 MCQ + 1 Multiple Response, ambang 60 peratus. Peraturan itu TIDAK digunakan untuk K3 dalam dokumen ini.</w:t>
      </w:r>
    </w:p>
    <w:p>
      <w:pPr>
        <w:keepNext/>
        <w:spacing w:before="200" w:after="120" w:line="240" w:lineRule="auto"/>
      </w:pPr>
      <w:r>
        <w:rPr>
          <w:b/>
          <w:color w:val="1A4D2E"/>
          <w:sz w:val="24"/>
          <w:szCs w:val="24"/>
        </w:rPr>
        <w:t xml:space="preserve">Pilihan</w:t>
      </w:r>
    </w:p>
    <w:tbl>
      <w:tblPr>
        <w:tblW w:w="9638" w:type="dxa"/>
        <w:tblLayout w:type="fixed"/>
        <w:tblBorders>
          <w:top w:val="single" w:sz="4" w:space="0" w:color="9AA0A6"/>
          <w:left w:val="single" w:sz="4" w:space="0" w:color="9AA0A6"/>
          <w:bottom w:val="single" w:sz="4" w:space="0" w:color="9AA0A6"/>
          <w:right w:val="single" w:sz="4" w:space="0" w:color="9AA0A6"/>
          <w:insideH w:val="single" w:sz="4" w:space="0" w:color="9AA0A6"/>
          <w:insideV w:val="single" w:sz="4" w:space="0" w:color="9AA0A6"/>
        </w:tblBorders>
      </w:tblPr>
      <w:tblGrid>
        <w:gridCol w:w="771"/>
        <w:gridCol w:w="2120"/>
        <w:gridCol w:w="5204"/>
        <w:gridCol w:w="1543"/>
      </w:tblGrid>
      <w:tr>
        <w:trPr>
          <w:tblHeader/>
          <w:cantSplit/>
        </w:trPr>
        <w:tc>
          <w:tcPr>
            <w:tcW w:w="771" w:type="dxa"/>
            <w:shd w:val="clear" w:color="auto" w:fill="E8EAED"/>
            <w:tcMar>
              <w:top w:w="60" w:type="dxa"/>
              <w:bottom w:w="60" w:type="dxa"/>
              <w:left w:w="80" w:type="dxa"/>
              <w:right w:w="80" w:type="dxa"/>
            </w:tcMar>
          </w:tcPr>
          <w:p>
            <w:pPr>
              <w:spacing w:before="20" w:after="20" w:line="240" w:lineRule="auto"/>
            </w:pPr>
            <w:r>
              <w:rPr>
                <w:b/>
                <w:sz w:val="18"/>
                <w:szCs w:val="18"/>
              </w:rPr>
              <w:t xml:space="preserve">Pilih</w:t>
            </w:r>
          </w:p>
        </w:tc>
        <w:tc>
          <w:tcPr>
            <w:tcW w:w="2120" w:type="dxa"/>
            <w:shd w:val="clear" w:color="auto" w:fill="E8EAED"/>
            <w:tcMar>
              <w:top w:w="60" w:type="dxa"/>
              <w:bottom w:w="60" w:type="dxa"/>
              <w:left w:w="80" w:type="dxa"/>
              <w:right w:w="80" w:type="dxa"/>
            </w:tcMar>
          </w:tcPr>
          <w:p>
            <w:pPr>
              <w:spacing w:before="20" w:after="20" w:line="240" w:lineRule="auto"/>
            </w:pPr>
            <w:r>
              <w:rPr>
                <w:b/>
                <w:sz w:val="18"/>
                <w:szCs w:val="18"/>
              </w:rPr>
              <w:t xml:space="preserve">Pilihan</w:t>
            </w:r>
          </w:p>
        </w:tc>
        <w:tc>
          <w:tcPr>
            <w:tcW w:w="5204" w:type="dxa"/>
            <w:shd w:val="clear" w:color="auto" w:fill="E8EAED"/>
            <w:tcMar>
              <w:top w:w="60" w:type="dxa"/>
              <w:bottom w:w="60" w:type="dxa"/>
              <w:left w:w="80" w:type="dxa"/>
              <w:right w:w="80" w:type="dxa"/>
            </w:tcMar>
          </w:tcPr>
          <w:p>
            <w:pPr>
              <w:spacing w:before="20" w:after="20" w:line="240" w:lineRule="auto"/>
            </w:pPr>
            <w:r>
              <w:rPr>
                <w:b/>
                <w:sz w:val="18"/>
                <w:szCs w:val="18"/>
              </w:rPr>
              <w:t xml:space="preserve">Kesan kepada pengeluaran</w:t>
            </w:r>
          </w:p>
        </w:tc>
        <w:tc>
          <w:tcPr>
            <w:tcW w:w="1543" w:type="dxa"/>
            <w:shd w:val="clear" w:color="auto" w:fill="E8EAED"/>
            <w:tcMar>
              <w:top w:w="60" w:type="dxa"/>
              <w:bottom w:w="60" w:type="dxa"/>
              <w:left w:w="80" w:type="dxa"/>
              <w:right w:w="80" w:type="dxa"/>
            </w:tcMar>
          </w:tcPr>
          <w:p>
            <w:pPr>
              <w:spacing w:before="20" w:after="20" w:line="240" w:lineRule="auto"/>
            </w:pPr>
            <w:r>
              <w:rPr>
                <w:b/>
                <w:sz w:val="18"/>
                <w:szCs w:val="18"/>
              </w:rPr>
              <w:t xml:space="preserve">Kos</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  ]  A</w:t>
            </w:r>
          </w:p>
        </w:tc>
        <w:tc>
          <w:tcPr>
            <w:tcW w:w="2120" w:type="dxa"/>
            <w:tcMar>
              <w:top w:w="60" w:type="dxa"/>
              <w:bottom w:w="60" w:type="dxa"/>
              <w:left w:w="80" w:type="dxa"/>
              <w:right w:w="80" w:type="dxa"/>
            </w:tcMar>
          </w:tcPr>
          <w:p>
            <w:pPr>
              <w:spacing w:before="20" w:after="20" w:line="240" w:lineRule="auto"/>
            </w:pPr>
            <w:r>
              <w:rPr>
                <w:sz w:val="18"/>
                <w:szCs w:val="18"/>
              </w:rPr>
              <w:t xml:space="preserve">Kekalkan format LATIHAN dan SKEMA JAWAPAN asal.</w:t>
            </w:r>
          </w:p>
        </w:tc>
        <w:tc>
          <w:tcPr>
            <w:tcW w:w="5204" w:type="dxa"/>
            <w:tcMar>
              <w:top w:w="60" w:type="dxa"/>
              <w:bottom w:w="60" w:type="dxa"/>
              <w:left w:w="80" w:type="dxa"/>
              <w:right w:w="80" w:type="dxa"/>
            </w:tcMar>
          </w:tcPr>
          <w:p>
            <w:pPr>
              <w:spacing w:before="20" w:after="20" w:line="240" w:lineRule="auto"/>
            </w:pPr>
            <w:r>
              <w:rPr>
                <w:sz w:val="18"/>
                <w:szCs w:val="18"/>
              </w:rPr>
              <w:t xml:space="preserve">Tiada penulisan item baharu; skema sumber digunakan terus. Tetapi esei tidak boleh dinilai automatik dalam LMS, jadi setiap jawapan perlu disemak manusia dan tiada skor automatik atau ambang lulus. Ketidakseragaman sumber turut sampai kepada pelajar: sesetengah unit 5 soalan, dua unit 3 soalan, dan PL03 tiada jawapan model langsung — hanya rubrik pemeriksa yang tidak boleh dipaparkan.</w:t>
            </w:r>
          </w:p>
        </w:tc>
        <w:tc>
          <w:tcPr>
            <w:tcW w:w="1543" w:type="dxa"/>
            <w:tcMar>
              <w:top w:w="60" w:type="dxa"/>
              <w:bottom w:w="60" w:type="dxa"/>
              <w:left w:w="80" w:type="dxa"/>
              <w:right w:w="80" w:type="dxa"/>
            </w:tcMar>
          </w:tcPr>
          <w:p>
            <w:pPr>
              <w:spacing w:before="20" w:after="20" w:line="240" w:lineRule="auto"/>
            </w:pPr>
            <w:r>
              <w:rPr>
                <w:sz w:val="18"/>
                <w:szCs w:val="18"/>
              </w:rPr>
              <w:t xml:space="preserve">RENDAH untuk pengarangan, TINGGI untuk penyemakan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  ]  B</w:t>
            </w:r>
          </w:p>
        </w:tc>
        <w:tc>
          <w:tcPr>
            <w:tcW w:w="2120" w:type="dxa"/>
            <w:tcMar>
              <w:top w:w="60" w:type="dxa"/>
              <w:bottom w:w="60" w:type="dxa"/>
              <w:left w:w="80" w:type="dxa"/>
              <w:right w:w="80" w:type="dxa"/>
            </w:tcMar>
          </w:tcPr>
          <w:p>
            <w:pPr>
              <w:spacing w:before="20" w:after="20" w:line="240" w:lineRule="auto"/>
            </w:pPr>
            <w:r>
              <w:rPr>
                <w:sz w:val="18"/>
                <w:szCs w:val="18"/>
              </w:rPr>
              <w:t xml:space="preserve">Transform latihan asal kepada 4 MCQ + 1 Multiple Response.</w:t>
            </w:r>
          </w:p>
        </w:tc>
        <w:tc>
          <w:tcPr>
            <w:tcW w:w="5204" w:type="dxa"/>
            <w:tcMar>
              <w:top w:w="60" w:type="dxa"/>
              <w:bottom w:w="60" w:type="dxa"/>
              <w:left w:w="80" w:type="dxa"/>
              <w:right w:w="80" w:type="dxa"/>
            </w:tcMar>
          </w:tcPr>
          <w:p>
            <w:pPr>
              <w:spacing w:before="20" w:after="20" w:line="240" w:lineRule="auto"/>
            </w:pPr>
            <w:r>
              <w:rPr>
                <w:sz w:val="18"/>
                <w:szCs w:val="18"/>
              </w:rPr>
              <w:t xml:space="preserve">Boleh dinilai automatik dan sejajar dengan K5, dan menyeragamkan kesemua sembilan unit kepada satu bentuk. Tetapi 41 soalan esei perlu ditulis semula menjadi 45 item objektif, dan pengganggu (distractor) perlu dikarang kerana tiada satu pun sumber membekalkannya. Skema asal menjadi bahan kunci, bukan item siap.</w:t>
            </w:r>
          </w:p>
        </w:tc>
        <w:tc>
          <w:tcPr>
            <w:tcW w:w="1543" w:type="dxa"/>
            <w:tcMar>
              <w:top w:w="60" w:type="dxa"/>
              <w:bottom w:w="60" w:type="dxa"/>
              <w:left w:w="80" w:type="dxa"/>
              <w:right w:w="80" w:type="dxa"/>
            </w:tcMar>
          </w:tcPr>
          <w:p>
            <w:pPr>
              <w:spacing w:before="20" w:after="20" w:line="240" w:lineRule="auto"/>
            </w:pPr>
            <w:r>
              <w:rPr>
                <w:sz w:val="18"/>
                <w:szCs w:val="18"/>
              </w:rPr>
              <w:t xml:space="preserve">TINGGI untuk pengarangan, RENDAH untuk penyemakan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  ]  C</w:t>
            </w:r>
          </w:p>
        </w:tc>
        <w:tc>
          <w:tcPr>
            <w:tcW w:w="2120" w:type="dxa"/>
            <w:tcMar>
              <w:top w:w="60" w:type="dxa"/>
              <w:bottom w:w="60" w:type="dxa"/>
              <w:left w:w="80" w:type="dxa"/>
              <w:right w:w="80" w:type="dxa"/>
            </w:tcMar>
          </w:tcPr>
          <w:p>
            <w:pPr>
              <w:spacing w:before="20" w:after="20" w:line="240" w:lineRule="auto"/>
            </w:pPr>
            <w:r>
              <w:rPr>
                <w:sz w:val="18"/>
                <w:szCs w:val="18"/>
              </w:rPr>
              <w:t xml:space="preserve">Kekalkan latihan asal dan tambah kuiz modul.</w:t>
            </w:r>
          </w:p>
        </w:tc>
        <w:tc>
          <w:tcPr>
            <w:tcW w:w="5204" w:type="dxa"/>
            <w:tcMar>
              <w:top w:w="60" w:type="dxa"/>
              <w:bottom w:w="60" w:type="dxa"/>
              <w:left w:w="80" w:type="dxa"/>
              <w:right w:w="80" w:type="dxa"/>
            </w:tcMar>
          </w:tcPr>
          <w:p>
            <w:pPr>
              <w:spacing w:before="20" w:after="20" w:line="240" w:lineRule="auto"/>
            </w:pPr>
            <w:r>
              <w:rPr>
                <w:sz w:val="18"/>
                <w:szCs w:val="18"/>
              </w:rPr>
              <w:t xml:space="preserve">Pelajar menghadapi dua penilaian. Latihan esei kekal sebagai refleksi; kuiz baharu memberi skor. Kos pengarangan sama seperti B, ditambah masa pelajar yang lebih panjang, dan ketidakseragaman sumber tetap kelihatan dalam bahagian esei.</w:t>
            </w:r>
          </w:p>
        </w:tc>
        <w:tc>
          <w:tcPr>
            <w:tcW w:w="1543" w:type="dxa"/>
            <w:tcMar>
              <w:top w:w="60" w:type="dxa"/>
              <w:bottom w:w="60" w:type="dxa"/>
              <w:left w:w="80" w:type="dxa"/>
              <w:right w:w="80" w:type="dxa"/>
            </w:tcMar>
          </w:tcPr>
          <w:p>
            <w:pPr>
              <w:spacing w:before="20" w:after="20" w:line="240" w:lineRule="auto"/>
            </w:pPr>
            <w:r>
              <w:rPr>
                <w:sz w:val="18"/>
                <w:szCs w:val="18"/>
              </w:rPr>
              <w:t xml:space="preserve">TINGGI — kedua-dua kos digabungkan</w:t>
            </w:r>
          </w:p>
        </w:tc>
      </w:tr>
      <w:tr>
        <w:trPr>
          <w:cantSplit/>
        </w:trPr>
        <w:tc>
          <w:tcPr>
            <w:tcW w:w="771" w:type="dxa"/>
            <w:tcMar>
              <w:top w:w="60" w:type="dxa"/>
              <w:bottom w:w="60" w:type="dxa"/>
              <w:left w:w="80" w:type="dxa"/>
              <w:right w:w="80" w:type="dxa"/>
            </w:tcMar>
          </w:tcPr>
          <w:p>
            <w:pPr>
              <w:spacing w:before="20" w:after="20" w:line="240" w:lineRule="auto"/>
            </w:pPr>
            <w:r>
              <w:rPr>
                <w:sz w:val="18"/>
                <w:szCs w:val="18"/>
              </w:rPr>
              <w:t xml:space="preserve">[  ]  D</w:t>
            </w:r>
          </w:p>
        </w:tc>
        <w:tc>
          <w:tcPr>
            <w:tcW w:w="2120" w:type="dxa"/>
            <w:tcMar>
              <w:top w:w="60" w:type="dxa"/>
              <w:bottom w:w="60" w:type="dxa"/>
              <w:left w:w="80" w:type="dxa"/>
              <w:right w:w="80" w:type="dxa"/>
            </w:tcMar>
          </w:tcPr>
          <w:p>
            <w:pPr>
              <w:spacing w:before="20" w:after="20" w:line="240" w:lineRule="auto"/>
            </w:pPr>
            <w:r>
              <w:rPr>
                <w:sz w:val="18"/>
                <w:szCs w:val="18"/>
              </w:rPr>
              <w:t xml:space="preserve">Tentukan mengikut setiap PL.</w:t>
            </w:r>
          </w:p>
        </w:tc>
        <w:tc>
          <w:tcPr>
            <w:tcW w:w="5204" w:type="dxa"/>
            <w:tcMar>
              <w:top w:w="60" w:type="dxa"/>
              <w:bottom w:w="60" w:type="dxa"/>
              <w:left w:w="80" w:type="dxa"/>
              <w:right w:w="80" w:type="dxa"/>
            </w:tcMar>
          </w:tcPr>
          <w:p>
            <w:pPr>
              <w:spacing w:before="20" w:after="20" w:line="240" w:lineRule="auto"/>
            </w:pPr>
            <w:r>
              <w:rPr>
                <w:sz w:val="18"/>
                <w:szCs w:val="18"/>
              </w:rPr>
              <w:t xml:space="preserve">Fleksibel, dan mengiktiraf bahawa sumber memang sudah berbeza — PL03 khususnya membawa rubrik bermarkah yang tiada pada lapan yang lain. Tetapi setiap PL memerlukan keputusan berasingan dan kursus K3 tidak lagi mempunyai satu bentuk penilaian yang seragam. Sembilan keputusan menggantikan satu.</w:t>
            </w:r>
          </w:p>
        </w:tc>
        <w:tc>
          <w:tcPr>
            <w:tcW w:w="1543" w:type="dxa"/>
            <w:tcMar>
              <w:top w:w="60" w:type="dxa"/>
              <w:bottom w:w="60" w:type="dxa"/>
              <w:left w:w="80" w:type="dxa"/>
              <w:right w:w="80" w:type="dxa"/>
            </w:tcMar>
          </w:tcPr>
          <w:p>
            <w:pPr>
              <w:spacing w:before="20" w:after="20" w:line="240" w:lineRule="auto"/>
            </w:pPr>
            <w:r>
              <w:rPr>
                <w:sz w:val="18"/>
                <w:szCs w:val="18"/>
              </w:rPr>
              <w:t xml:space="preserve">BERUBAH-UBAH — bergantung kepada campuran</w:t>
            </w:r>
          </w:p>
        </w:tc>
      </w:tr>
    </w:tbl>
    <w:p>
      <w:pPr>
        <w:spacing w:after="60"/>
      </w:pPr>
    </w:p>
    <w:p>
      <w:pPr>
        <w:keepNext/>
        <w:spacing w:before="200" w:after="120" w:line="240" w:lineRule="auto"/>
      </w:pPr>
      <w:r>
        <w:rPr>
          <w:b/>
          <w:color w:val="1A4D2E"/>
          <w:sz w:val="24"/>
          <w:szCs w:val="24"/>
        </w:rPr>
        <w:t xml:space="preserve">Nota</w:t>
      </w:r>
    </w:p>
    <w:p>
      <w:pPr>
        <w:spacing w:before="0" w:after="40" w:line="240" w:lineRule="auto"/>
        <w:ind w:left="200"/>
      </w:pPr>
      <w:r>
        <w:rPr>
          <w:sz w:val="20"/>
          <w:szCs w:val="20"/>
        </w:rPr>
        <w:t xml:space="preserve">•  Tiada cadangan CAIR. Lapan pakej membekalkan jawapan model yang boleh terus digunakan; PL03 hanya rubrik bermarkah. Memilih tanpa keputusan Bariah akan membazirkan lapan skema itu atau menyembunyikan jurang PL03.</w:t>
      </w:r>
    </w:p>
    <w:p>
      <w:pPr>
        <w:spacing w:before="0" w:after="40" w:line="240" w:lineRule="auto"/>
        <w:ind w:left="200"/>
      </w:pPr>
      <w:r>
        <w:rPr>
          <w:sz w:val="20"/>
          <w:szCs w:val="20"/>
        </w:rPr>
        <w:t xml:space="preserve">•  Menyekat: pemodelan penilaian K3. TIDAK menyekat: pembacaan sumber, pengekstrakan kandungan, pemodelan visual, pemodelan skrin.</w:t>
      </w:r>
    </w:p>
    <w:p>
      <w:pPr>
        <w:spacing w:before="0" w:after="120" w:line="240" w:lineRule="auto"/>
      </w:pPr>
      <w:r>
        <w:rPr>
          <w:sz w:val="20"/>
          <w:szCs w:val="20"/>
        </w:rPr>
        <w:t xml:space="preserve">Tandatangan: ____________________      Tarikh: ____________________</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w:zoom w:percent="100"/>
  <w:defaultTabStop w:val="720"/>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lang w:val="ms-MY"/>
      </w:rPr>
    </w:rPrDefault>
    <w:pPrDefault>
      <w:pPr>
        <w:spacing w:after="12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CAIR governed OOXML writer</Application>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K3 — Keputusan Peringkat Kursus v0.1</dc:title>
  <dc:language>ms-MY</dc:language>
  <cp:revision>1</cp:revision>
  <dcterms:created xsi:type="dcterms:W3CDTF">2026-08-03T00:00:00Z</dcterms:created>
  <dcterms:modified xsi:type="dcterms:W3CDTF">2026-08-03T00:00:00Z</dcterms:modified>
</cp:coreProperties>
</file>