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hebdomadaire</w:t>
      </w:r>
      <w:r>
        <w:t xml:space="preserve"> </w:t>
      </w:r>
      <w:r>
        <w:t xml:space="preserve">COVID-19</w:t>
      </w:r>
    </w:p>
    <w:p>
      <w:pPr>
        <w:pStyle w:val="Author"/>
      </w:pPr>
      <w:r>
        <w:t xml:space="preserve">Le</w:t>
      </w:r>
      <w:r>
        <w:t xml:space="preserve"> </w:t>
      </w:r>
      <w:r>
        <w:t xml:space="preserve">gourmet</w:t>
      </w:r>
    </w:p>
    <w:p>
      <w:pPr>
        <w:pStyle w:val="Date"/>
      </w:pPr>
      <w:r>
        <w:t xml:space="preserve">11/2/2021</w:t>
      </w:r>
    </w:p>
    <w:p>
      <w:pPr>
        <w:pStyle w:val="Heading2"/>
      </w:pPr>
      <w:bookmarkStart w:id="20" w:name="introduction"/>
      <w:r>
        <w:t xml:space="preserve">Introduction</w:t>
      </w:r>
      <w:bookmarkEnd w:id="20"/>
    </w:p>
    <w:p>
      <w:pPr>
        <w:pStyle w:val="Heading3"/>
      </w:pPr>
      <w:bookmarkStart w:id="21" w:name="texte-dans-un-r-markdown"/>
      <w:r>
        <w:t xml:space="preserve">Texte dans un R markdown</w:t>
      </w:r>
      <w:bookmarkEnd w:id="21"/>
    </w:p>
    <w:p>
      <w:pPr>
        <w:pStyle w:val="FirstParagraph"/>
      </w:pPr>
      <w:r>
        <w:t xml:space="preserve">Dans ce document, vous trouverez des informations concernant la situation de la flambee de la maladie à coronavirus 2019 (COVID-19) a Madagascar dont les premiers cas ont été signalés pour la première fois à Wuhan, en Chine, le 31 décembre 2019. Cette page est mise à jour regulierement. Derniere mise a jour</w:t>
      </w:r>
      <w:r>
        <w:t xml:space="preserve"> </w:t>
      </w:r>
      <w:r>
        <w:rPr>
          <w:b/>
        </w:rPr>
        <w:t xml:space="preserve">2021-04-20</w:t>
      </w:r>
      <w:r>
        <w:t xml:space="preserve">.</w:t>
      </w:r>
    </w:p>
    <w:p>
      <w:pPr>
        <w:pStyle w:val="BodyText"/>
      </w:pPr>
      <w:r>
        <w:t xml:space="preserve">Le ministere de la santé travaille en étroite collaboration avec les experts mondiaux, les gouvernements et les partenaires pour élargir rapidement les connaissances scientifiques sur ce nouveau virus, suivre sa propagation et sa virulence, et donner des conseils aux individus sur les mesures à prendre pour protéger leur santé et empêcher la propagation de cette flambée.</w:t>
      </w:r>
    </w:p>
    <w:p>
      <w:pPr>
        <w:pStyle w:val="BodyText"/>
      </w:pPr>
      <w:r>
        <w:t xml:space="preserve">Les symptômes les plus courants sont les suivants :</w:t>
      </w:r>
    </w:p>
    <w:p>
      <w:pPr>
        <w:pStyle w:val="Compact"/>
        <w:numPr>
          <w:numId w:val="1001"/>
          <w:ilvl w:val="0"/>
        </w:numPr>
      </w:pPr>
      <w:r>
        <w:t xml:space="preserve">Fièvre</w:t>
      </w:r>
    </w:p>
    <w:p>
      <w:pPr>
        <w:pStyle w:val="Compact"/>
        <w:numPr>
          <w:numId w:val="1001"/>
          <w:ilvl w:val="0"/>
        </w:numPr>
      </w:pPr>
      <w:r>
        <w:t xml:space="preserve">Toux sèche</w:t>
      </w:r>
    </w:p>
    <w:p>
      <w:pPr>
        <w:pStyle w:val="Compact"/>
        <w:numPr>
          <w:numId w:val="1001"/>
          <w:ilvl w:val="0"/>
        </w:numPr>
      </w:pPr>
      <w:r>
        <w:t xml:space="preserve">Fatigue</w:t>
      </w:r>
    </w:p>
    <w:p>
      <w:pPr>
        <w:pStyle w:val="FirstParagraph"/>
      </w:pPr>
      <w:r>
        <w:t xml:space="preserve">D’autres symptômes moins courants peuvent toucher certains patients :</w:t>
      </w:r>
    </w:p>
    <w:p>
      <w:pPr>
        <w:pStyle w:val="Compact"/>
        <w:numPr>
          <w:numId w:val="1002"/>
          <w:ilvl w:val="0"/>
        </w:numPr>
      </w:pPr>
      <w:r>
        <w:t xml:space="preserve">Perte du goût et de l’odorat,</w:t>
      </w:r>
    </w:p>
    <w:p>
      <w:pPr>
        <w:pStyle w:val="Compact"/>
        <w:numPr>
          <w:numId w:val="1002"/>
          <w:ilvl w:val="0"/>
        </w:numPr>
      </w:pPr>
      <w:r>
        <w:t xml:space="preserve">Congestion nasale,</w:t>
      </w:r>
    </w:p>
    <w:p>
      <w:pPr>
        <w:pStyle w:val="Compact"/>
        <w:numPr>
          <w:numId w:val="1002"/>
          <w:ilvl w:val="0"/>
        </w:numPr>
      </w:pPr>
      <w:r>
        <w:t xml:space="preserve">Conjonctivite (yeux rouges),</w:t>
      </w:r>
    </w:p>
    <w:p>
      <w:pPr>
        <w:pStyle w:val="Compact"/>
        <w:numPr>
          <w:numId w:val="1002"/>
          <w:ilvl w:val="0"/>
        </w:numPr>
      </w:pPr>
      <w:r>
        <w:t xml:space="preserve">Mal de gorge,</w:t>
      </w:r>
    </w:p>
    <w:p>
      <w:pPr>
        <w:pStyle w:val="Compact"/>
        <w:numPr>
          <w:numId w:val="1002"/>
          <w:ilvl w:val="0"/>
        </w:numPr>
      </w:pPr>
      <w:r>
        <w:t xml:space="preserve">Maux de tête,</w:t>
      </w:r>
    </w:p>
    <w:p>
      <w:pPr>
        <w:pStyle w:val="Compact"/>
        <w:numPr>
          <w:numId w:val="1002"/>
          <w:ilvl w:val="0"/>
        </w:numPr>
      </w:pPr>
      <w:r>
        <w:t xml:space="preserve">Douleurs musculaires ou articulaires,</w:t>
      </w:r>
    </w:p>
    <w:p>
      <w:pPr>
        <w:pStyle w:val="Compact"/>
        <w:numPr>
          <w:numId w:val="1002"/>
          <w:ilvl w:val="0"/>
        </w:numPr>
      </w:pPr>
      <w:r>
        <w:t xml:space="preserve">Différents types d’éruption cutanée,</w:t>
      </w:r>
    </w:p>
    <w:p>
      <w:pPr>
        <w:pStyle w:val="Compact"/>
        <w:numPr>
          <w:numId w:val="1002"/>
          <w:ilvl w:val="0"/>
        </w:numPr>
      </w:pPr>
      <w:r>
        <w:t xml:space="preserve">Diarrhée.</w:t>
      </w:r>
    </w:p>
    <w:p>
      <w:pPr>
        <w:pStyle w:val="FirstParagraph"/>
      </w:pPr>
      <w:r>
        <w:rPr>
          <w:b/>
        </w:rPr>
        <w:t xml:space="preserve">Les symptômes de la forme grave de COVID-19 sont les suivants :</w:t>
      </w:r>
    </w:p>
    <w:p>
      <w:pPr>
        <w:pStyle w:val="Compact"/>
        <w:numPr>
          <w:numId w:val="1003"/>
          <w:ilvl w:val="0"/>
        </w:numPr>
      </w:pPr>
      <w:r>
        <w:t xml:space="preserve">Essoufflement,</w:t>
      </w:r>
    </w:p>
    <w:p>
      <w:pPr>
        <w:pStyle w:val="Compact"/>
        <w:numPr>
          <w:numId w:val="1003"/>
          <w:ilvl w:val="0"/>
        </w:numPr>
      </w:pPr>
      <w:r>
        <w:t xml:space="preserve">Perte d’appétit,</w:t>
      </w:r>
    </w:p>
    <w:p>
      <w:pPr>
        <w:pStyle w:val="Compact"/>
        <w:numPr>
          <w:numId w:val="1003"/>
          <w:ilvl w:val="0"/>
        </w:numPr>
      </w:pPr>
      <w:r>
        <w:t xml:space="preserve">État confusionnel,</w:t>
      </w:r>
    </w:p>
    <w:p>
      <w:pPr>
        <w:pStyle w:val="Compact"/>
        <w:numPr>
          <w:numId w:val="1003"/>
          <w:ilvl w:val="0"/>
        </w:numPr>
      </w:pPr>
      <w:r>
        <w:t xml:space="preserve">Douleurs ou sensation d’oppression persistantes dans la poitrine,</w:t>
      </w:r>
    </w:p>
    <w:p>
      <w:pPr>
        <w:pStyle w:val="Compact"/>
        <w:numPr>
          <w:numId w:val="1003"/>
          <w:ilvl w:val="0"/>
        </w:numPr>
      </w:pPr>
      <w:r>
        <w:t xml:space="preserve">Température élevée (supérieure à 38° C).</w:t>
      </w:r>
    </w:p>
    <w:p>
      <w:pPr>
        <w:pStyle w:val="FirstParagraph"/>
      </w:pPr>
      <w:r>
        <w:t xml:space="preserve">Toute personne, quel que soit son âge, qui présente de la fièvre et/ou une toux associée à des difficultés à respirer ou à un essoufflement, des douleurs ou une sensation d’oppression dans la poitrine, ou une perte d’élocution ou de mouvement, doit immédiatement consulter un médecin.</w:t>
      </w:r>
    </w:p>
    <w:p>
      <w:pPr>
        <w:pStyle w:val="BodyText"/>
      </w:pPr>
      <w:r>
        <w:t xml:space="preserve">Ceci est un document préliminaire produit à partir des données de 36614 cas de COVID-19 confirmés par laboratoire et identifiés à Madagascar entre</w:t>
      </w:r>
      <w:r>
        <w:t xml:space="preserve"> </w:t>
      </w:r>
      <w:r>
        <w:rPr>
          <w:b/>
        </w:rPr>
        <w:t xml:space="preserve">2020-03-18</w:t>
      </w:r>
      <w:r>
        <w:t xml:space="preserve"> </w:t>
      </w:r>
      <w:r>
        <w:t xml:space="preserve">et</w:t>
      </w:r>
      <w:r>
        <w:t xml:space="preserve"> </w:t>
      </w:r>
      <w:r>
        <w:rPr>
          <w:b/>
        </w:rPr>
        <w:t xml:space="preserve">2021-04-20</w:t>
      </w:r>
      <w:r>
        <w:t xml:space="preserve">.</w:t>
      </w:r>
    </w:p>
    <w:p>
      <w:pPr>
        <w:pStyle w:val="Heading2"/>
      </w:pPr>
      <w:bookmarkStart w:id="22" w:name="statistiques-descriptives"/>
      <w:r>
        <w:t xml:space="preserve">Statistiques descriptives</w:t>
      </w:r>
      <w:bookmarkEnd w:id="22"/>
    </w:p>
    <w:p>
      <w:pPr>
        <w:pStyle w:val="Heading3"/>
      </w:pPr>
      <w:bookmarkStart w:id="23" w:name="X86a10e33c8a9071c91c16fcb9a9f212f758253f"/>
      <w:r>
        <w:t xml:space="preserve">Exemple pour inclure une figure: Serie temporelle de cas</w:t>
      </w:r>
      <w:bookmarkEnd w:id="23"/>
    </w:p>
    <w:p>
      <w:pPr>
        <w:pStyle w:val="FirstParagraph"/>
      </w:pPr>
      <w:r>
        <w:t xml:space="preserve">La figure suivante présente l’évolution du nombre de prélèvements positifs par jour à Madagascar.</w:t>
      </w:r>
    </w:p>
    <w:p>
      <w:pPr>
        <w:pStyle w:val="BodyText"/>
      </w:pPr>
      <w:r>
        <w:drawing>
          <wp:inline>
            <wp:extent cx="5334000" cy="4267200"/>
            <wp:effectExtent b="0" l="0" r="0" t="0"/>
            <wp:docPr descr="" title="" id="1" name="Picture"/>
            <a:graphic>
              <a:graphicData uri="http://schemas.openxmlformats.org/drawingml/2006/picture">
                <pic:pic>
                  <pic:nvPicPr>
                    <pic:cNvPr descr="day3_1_report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carte-du-nombre-de-cas-a-madagascar"/>
      <w:r>
        <w:t xml:space="preserve">carte du nombre de cas a Madagascar</w:t>
      </w:r>
      <w:bookmarkEnd w:id="25"/>
    </w:p>
    <w:p>
      <w:pPr>
        <w:pStyle w:val="FirstParagraph"/>
      </w:pPr>
      <w:r>
        <w:drawing>
          <wp:inline>
            <wp:extent cx="5334000" cy="4267200"/>
            <wp:effectExtent b="0" l="0" r="0" t="0"/>
            <wp:docPr descr="" title="" id="1" name="Picture"/>
            <a:graphic>
              <a:graphicData uri="http://schemas.openxmlformats.org/drawingml/2006/picture">
                <pic:pic>
                  <pic:nvPicPr>
                    <pic:cNvPr descr="day3_1_report_files/figure-docx/map-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3"/>
      </w:pPr>
      <w:bookmarkStart w:id="27" w:name="Xd53d4de053babbb3fde1a03c3a6547d194c8586"/>
      <w:r>
        <w:t xml:space="preserve">Exemple pour inclure un tableau : moyenne d’age des cas par region</w:t>
      </w:r>
      <w:bookmarkEnd w:id="27"/>
    </w:p>
    <w:p>
      <w:pPr>
        <w:pStyle w:val="FirstParagraph"/>
      </w:pPr>
      <w:r>
        <w:t xml:space="preserve">Le tableau suivant montre la moyenne d’age par sexe des cas confirmes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Cas</w:t>
            </w:r>
          </w:p>
        </w:tc>
        <w:tc>
          <w:tcPr>
            <w:tcBorders>
              <w:bottom w:val="single"/>
            </w:tcBorders>
            <w:vAlign w:val="bottom"/>
          </w:tcPr>
          <w:p>
            <w:pPr>
              <w:pStyle w:val="Compact"/>
              <w:jc w:val="right"/>
            </w:pPr>
            <w:r>
              <w:t xml:space="preserve">Age</w:t>
            </w:r>
          </w:p>
        </w:tc>
      </w:tr>
      <w:tr>
        <w:tc>
          <w:p>
            <w:pPr>
              <w:pStyle w:val="Compact"/>
              <w:jc w:val="left"/>
            </w:pPr>
            <w:r>
              <w:t xml:space="preserve">Alaotra-Mangoro</w:t>
            </w:r>
          </w:p>
        </w:tc>
        <w:tc>
          <w:p>
            <w:pPr>
              <w:pStyle w:val="Compact"/>
              <w:jc w:val="right"/>
            </w:pPr>
            <w:r>
              <w:t xml:space="preserve">894</w:t>
            </w:r>
          </w:p>
        </w:tc>
        <w:tc>
          <w:p>
            <w:pPr>
              <w:pStyle w:val="Compact"/>
              <w:jc w:val="right"/>
            </w:pPr>
            <w:r>
              <w:t xml:space="preserve">43.04</w:t>
            </w:r>
          </w:p>
        </w:tc>
      </w:tr>
      <w:tr>
        <w:tc>
          <w:p>
            <w:pPr>
              <w:pStyle w:val="Compact"/>
              <w:jc w:val="left"/>
            </w:pPr>
            <w:r>
              <w:t xml:space="preserve">Amoron’i Mania</w:t>
            </w:r>
          </w:p>
        </w:tc>
        <w:tc>
          <w:p>
            <w:pPr>
              <w:pStyle w:val="Compact"/>
              <w:jc w:val="right"/>
            </w:pPr>
            <w:r>
              <w:t xml:space="preserve">418</w:t>
            </w:r>
          </w:p>
        </w:tc>
        <w:tc>
          <w:p>
            <w:pPr>
              <w:pStyle w:val="Compact"/>
              <w:jc w:val="right"/>
            </w:pPr>
            <w:r>
              <w:t xml:space="preserve">37.44</w:t>
            </w:r>
          </w:p>
        </w:tc>
      </w:tr>
      <w:tr>
        <w:tc>
          <w:p>
            <w:pPr>
              <w:pStyle w:val="Compact"/>
              <w:jc w:val="left"/>
            </w:pPr>
            <w:r>
              <w:t xml:space="preserve">Analamanga</w:t>
            </w:r>
          </w:p>
        </w:tc>
        <w:tc>
          <w:p>
            <w:pPr>
              <w:pStyle w:val="Compact"/>
              <w:jc w:val="right"/>
            </w:pPr>
            <w:r>
              <w:t xml:space="preserve">23863</w:t>
            </w:r>
          </w:p>
        </w:tc>
        <w:tc>
          <w:p>
            <w:pPr>
              <w:pStyle w:val="Compact"/>
              <w:jc w:val="right"/>
            </w:pPr>
            <w:r>
              <w:t xml:space="preserve">39.84</w:t>
            </w:r>
          </w:p>
        </w:tc>
      </w:tr>
      <w:tr>
        <w:tc>
          <w:p>
            <w:pPr>
              <w:pStyle w:val="Compact"/>
              <w:jc w:val="left"/>
            </w:pPr>
            <w:r>
              <w:t xml:space="preserve">Analanjirofo</w:t>
            </w:r>
          </w:p>
        </w:tc>
        <w:tc>
          <w:p>
            <w:pPr>
              <w:pStyle w:val="Compact"/>
              <w:jc w:val="right"/>
            </w:pPr>
            <w:r>
              <w:t xml:space="preserve">787</w:t>
            </w:r>
          </w:p>
        </w:tc>
        <w:tc>
          <w:p>
            <w:pPr>
              <w:pStyle w:val="Compact"/>
              <w:jc w:val="right"/>
            </w:pPr>
            <w:r>
              <w:t xml:space="preserve">40.76</w:t>
            </w:r>
          </w:p>
        </w:tc>
      </w:tr>
      <w:tr>
        <w:tc>
          <w:p>
            <w:pPr>
              <w:pStyle w:val="Compact"/>
              <w:jc w:val="left"/>
            </w:pPr>
            <w:r>
              <w:t xml:space="preserve">Androy</w:t>
            </w:r>
          </w:p>
        </w:tc>
        <w:tc>
          <w:p>
            <w:pPr>
              <w:pStyle w:val="Compact"/>
              <w:jc w:val="right"/>
            </w:pPr>
            <w:r>
              <w:t xml:space="preserve">37</w:t>
            </w:r>
          </w:p>
        </w:tc>
        <w:tc>
          <w:p>
            <w:pPr>
              <w:pStyle w:val="Compact"/>
              <w:jc w:val="right"/>
            </w:pPr>
            <w:r>
              <w:t xml:space="preserve">35.86</w:t>
            </w:r>
          </w:p>
        </w:tc>
      </w:tr>
      <w:tr>
        <w:tc>
          <w:p>
            <w:pPr>
              <w:pStyle w:val="Compact"/>
              <w:jc w:val="left"/>
            </w:pPr>
            <w:r>
              <w:t xml:space="preserve">Anosy</w:t>
            </w:r>
          </w:p>
        </w:tc>
        <w:tc>
          <w:p>
            <w:pPr>
              <w:pStyle w:val="Compact"/>
              <w:jc w:val="right"/>
            </w:pPr>
            <w:r>
              <w:t xml:space="preserve">275</w:t>
            </w:r>
          </w:p>
        </w:tc>
        <w:tc>
          <w:p>
            <w:pPr>
              <w:pStyle w:val="Compact"/>
              <w:jc w:val="right"/>
            </w:pPr>
            <w:r>
              <w:t xml:space="preserve">38.99</w:t>
            </w:r>
          </w:p>
        </w:tc>
      </w:tr>
      <w:tr>
        <w:tc>
          <w:p>
            <w:pPr>
              <w:pStyle w:val="Compact"/>
              <w:jc w:val="left"/>
            </w:pPr>
            <w:r>
              <w:t xml:space="preserve">Atsimo-Andrefana</w:t>
            </w:r>
          </w:p>
        </w:tc>
        <w:tc>
          <w:p>
            <w:pPr>
              <w:pStyle w:val="Compact"/>
              <w:jc w:val="right"/>
            </w:pPr>
            <w:r>
              <w:t xml:space="preserve">630</w:t>
            </w:r>
          </w:p>
        </w:tc>
        <w:tc>
          <w:p>
            <w:pPr>
              <w:pStyle w:val="Compact"/>
              <w:jc w:val="right"/>
            </w:pPr>
            <w:r>
              <w:t xml:space="preserve">43.11</w:t>
            </w:r>
          </w:p>
        </w:tc>
      </w:tr>
      <w:tr>
        <w:tc>
          <w:p>
            <w:pPr>
              <w:pStyle w:val="Compact"/>
              <w:jc w:val="left"/>
            </w:pPr>
            <w:r>
              <w:t xml:space="preserve">Atsimo-Atsinanana</w:t>
            </w:r>
          </w:p>
        </w:tc>
        <w:tc>
          <w:p>
            <w:pPr>
              <w:pStyle w:val="Compact"/>
              <w:jc w:val="right"/>
            </w:pPr>
            <w:r>
              <w:t xml:space="preserve">44</w:t>
            </w:r>
          </w:p>
        </w:tc>
        <w:tc>
          <w:p>
            <w:pPr>
              <w:pStyle w:val="Compact"/>
              <w:jc w:val="right"/>
            </w:pPr>
            <w:r>
              <w:t xml:space="preserve">39.09</w:t>
            </w:r>
          </w:p>
        </w:tc>
      </w:tr>
      <w:tr>
        <w:tc>
          <w:p>
            <w:pPr>
              <w:pStyle w:val="Compact"/>
              <w:jc w:val="left"/>
            </w:pPr>
            <w:r>
              <w:t xml:space="preserve">Atsinanana</w:t>
            </w:r>
          </w:p>
        </w:tc>
        <w:tc>
          <w:p>
            <w:pPr>
              <w:pStyle w:val="Compact"/>
              <w:jc w:val="right"/>
            </w:pPr>
            <w:r>
              <w:t xml:space="preserve">2074</w:t>
            </w:r>
          </w:p>
        </w:tc>
        <w:tc>
          <w:p>
            <w:pPr>
              <w:pStyle w:val="Compact"/>
              <w:jc w:val="right"/>
            </w:pPr>
            <w:r>
              <w:t xml:space="preserve">40.08</w:t>
            </w:r>
          </w:p>
        </w:tc>
      </w:tr>
      <w:tr>
        <w:tc>
          <w:p>
            <w:pPr>
              <w:pStyle w:val="Compact"/>
              <w:jc w:val="left"/>
            </w:pPr>
            <w:r>
              <w:t xml:space="preserve">Betsiboka</w:t>
            </w:r>
          </w:p>
        </w:tc>
        <w:tc>
          <w:p>
            <w:pPr>
              <w:pStyle w:val="Compact"/>
              <w:jc w:val="right"/>
            </w:pPr>
            <w:r>
              <w:t xml:space="preserve">122</w:t>
            </w:r>
          </w:p>
        </w:tc>
        <w:tc>
          <w:p>
            <w:pPr>
              <w:pStyle w:val="Compact"/>
              <w:jc w:val="right"/>
            </w:pPr>
            <w:r>
              <w:t xml:space="preserve">39.89</w:t>
            </w:r>
          </w:p>
        </w:tc>
      </w:tr>
      <w:tr>
        <w:tc>
          <w:p>
            <w:pPr>
              <w:pStyle w:val="Compact"/>
              <w:jc w:val="left"/>
            </w:pPr>
            <w:r>
              <w:t xml:space="preserve">Boeny</w:t>
            </w:r>
          </w:p>
        </w:tc>
        <w:tc>
          <w:p>
            <w:pPr>
              <w:pStyle w:val="Compact"/>
              <w:jc w:val="right"/>
            </w:pPr>
            <w:r>
              <w:t xml:space="preserve">883</w:t>
            </w:r>
          </w:p>
        </w:tc>
        <w:tc>
          <w:p>
            <w:pPr>
              <w:pStyle w:val="Compact"/>
              <w:jc w:val="right"/>
            </w:pPr>
            <w:r>
              <w:t xml:space="preserve">41.29</w:t>
            </w:r>
          </w:p>
        </w:tc>
      </w:tr>
      <w:tr>
        <w:tc>
          <w:p>
            <w:pPr>
              <w:pStyle w:val="Compact"/>
              <w:jc w:val="left"/>
            </w:pPr>
            <w:r>
              <w:t xml:space="preserve">Bongolava</w:t>
            </w:r>
          </w:p>
        </w:tc>
        <w:tc>
          <w:p>
            <w:pPr>
              <w:pStyle w:val="Compact"/>
              <w:jc w:val="right"/>
            </w:pPr>
            <w:r>
              <w:t xml:space="preserve">359</w:t>
            </w:r>
          </w:p>
        </w:tc>
        <w:tc>
          <w:p>
            <w:pPr>
              <w:pStyle w:val="Compact"/>
              <w:jc w:val="right"/>
            </w:pPr>
            <w:r>
              <w:t xml:space="preserve">37.55</w:t>
            </w:r>
          </w:p>
        </w:tc>
      </w:tr>
      <w:tr>
        <w:tc>
          <w:p>
            <w:pPr>
              <w:pStyle w:val="Compact"/>
              <w:jc w:val="left"/>
            </w:pPr>
            <w:r>
              <w:t xml:space="preserve">Diana</w:t>
            </w:r>
          </w:p>
        </w:tc>
        <w:tc>
          <w:p>
            <w:pPr>
              <w:pStyle w:val="Compact"/>
              <w:jc w:val="right"/>
            </w:pPr>
            <w:r>
              <w:t xml:space="preserve">1993</w:t>
            </w:r>
          </w:p>
        </w:tc>
        <w:tc>
          <w:p>
            <w:pPr>
              <w:pStyle w:val="Compact"/>
              <w:jc w:val="right"/>
            </w:pPr>
            <w:r>
              <w:t xml:space="preserve">43.37</w:t>
            </w:r>
          </w:p>
        </w:tc>
      </w:tr>
      <w:tr>
        <w:tc>
          <w:p>
            <w:pPr>
              <w:pStyle w:val="Compact"/>
              <w:jc w:val="left"/>
            </w:pPr>
            <w:r>
              <w:t xml:space="preserve">Ihorombe</w:t>
            </w:r>
          </w:p>
        </w:tc>
        <w:tc>
          <w:p>
            <w:pPr>
              <w:pStyle w:val="Compact"/>
              <w:jc w:val="right"/>
            </w:pPr>
            <w:r>
              <w:t xml:space="preserve">265</w:t>
            </w:r>
          </w:p>
        </w:tc>
        <w:tc>
          <w:p>
            <w:pPr>
              <w:pStyle w:val="Compact"/>
              <w:jc w:val="right"/>
            </w:pPr>
            <w:r>
              <w:t xml:space="preserve">40.34</w:t>
            </w:r>
          </w:p>
        </w:tc>
      </w:tr>
      <w:tr>
        <w:tc>
          <w:p>
            <w:pPr>
              <w:pStyle w:val="Compact"/>
              <w:jc w:val="left"/>
            </w:pPr>
            <w:r>
              <w:t xml:space="preserve">Itasy</w:t>
            </w:r>
          </w:p>
        </w:tc>
        <w:tc>
          <w:p>
            <w:pPr>
              <w:pStyle w:val="Compact"/>
              <w:jc w:val="right"/>
            </w:pPr>
            <w:r>
              <w:t xml:space="preserve">368</w:t>
            </w:r>
          </w:p>
        </w:tc>
        <w:tc>
          <w:p>
            <w:pPr>
              <w:pStyle w:val="Compact"/>
              <w:jc w:val="right"/>
            </w:pPr>
            <w:r>
              <w:t xml:space="preserve">40.45</w:t>
            </w:r>
          </w:p>
        </w:tc>
      </w:tr>
      <w:tr>
        <w:tc>
          <w:p>
            <w:pPr>
              <w:pStyle w:val="Compact"/>
              <w:jc w:val="left"/>
            </w:pPr>
            <w:r>
              <w:t xml:space="preserve">Matsiatra Ambony</w:t>
            </w:r>
          </w:p>
        </w:tc>
        <w:tc>
          <w:p>
            <w:pPr>
              <w:pStyle w:val="Compact"/>
              <w:jc w:val="right"/>
            </w:pPr>
            <w:r>
              <w:t xml:space="preserve">759</w:t>
            </w:r>
          </w:p>
        </w:tc>
        <w:tc>
          <w:p>
            <w:pPr>
              <w:pStyle w:val="Compact"/>
              <w:jc w:val="right"/>
            </w:pPr>
            <w:r>
              <w:t xml:space="preserve">41.39</w:t>
            </w:r>
          </w:p>
        </w:tc>
      </w:tr>
      <w:tr>
        <w:tc>
          <w:p>
            <w:pPr>
              <w:pStyle w:val="Compact"/>
              <w:jc w:val="left"/>
            </w:pPr>
            <w:r>
              <w:t xml:space="preserve">Melaky</w:t>
            </w:r>
          </w:p>
        </w:tc>
        <w:tc>
          <w:p>
            <w:pPr>
              <w:pStyle w:val="Compact"/>
              <w:jc w:val="right"/>
            </w:pPr>
            <w:r>
              <w:t xml:space="preserve">56</w:t>
            </w:r>
          </w:p>
        </w:tc>
        <w:tc>
          <w:p>
            <w:pPr>
              <w:pStyle w:val="Compact"/>
              <w:jc w:val="right"/>
            </w:pPr>
            <w:r>
              <w:t xml:space="preserve">39.16</w:t>
            </w:r>
          </w:p>
        </w:tc>
      </w:tr>
      <w:tr>
        <w:tc>
          <w:p>
            <w:pPr>
              <w:pStyle w:val="Compact"/>
              <w:jc w:val="left"/>
            </w:pPr>
            <w:r>
              <w:t xml:space="preserve">Menabe</w:t>
            </w:r>
          </w:p>
        </w:tc>
        <w:tc>
          <w:p>
            <w:pPr>
              <w:pStyle w:val="Compact"/>
              <w:jc w:val="right"/>
            </w:pPr>
            <w:r>
              <w:t xml:space="preserve">394</w:t>
            </w:r>
          </w:p>
        </w:tc>
        <w:tc>
          <w:p>
            <w:pPr>
              <w:pStyle w:val="Compact"/>
              <w:jc w:val="right"/>
            </w:pPr>
            <w:r>
              <w:t xml:space="preserve">37.67</w:t>
            </w:r>
          </w:p>
        </w:tc>
      </w:tr>
      <w:tr>
        <w:tc>
          <w:p>
            <w:pPr>
              <w:pStyle w:val="Compact"/>
              <w:jc w:val="left"/>
            </w:pPr>
            <w:r>
              <w:t xml:space="preserve">Sava</w:t>
            </w:r>
          </w:p>
        </w:tc>
        <w:tc>
          <w:p>
            <w:pPr>
              <w:pStyle w:val="Compact"/>
              <w:jc w:val="right"/>
            </w:pPr>
            <w:r>
              <w:t xml:space="preserve">706</w:t>
            </w:r>
          </w:p>
        </w:tc>
        <w:tc>
          <w:p>
            <w:pPr>
              <w:pStyle w:val="Compact"/>
              <w:jc w:val="right"/>
            </w:pPr>
            <w:r>
              <w:t xml:space="preserve">42.41</w:t>
            </w:r>
          </w:p>
        </w:tc>
      </w:tr>
      <w:tr>
        <w:tc>
          <w:p>
            <w:pPr>
              <w:pStyle w:val="Compact"/>
              <w:jc w:val="left"/>
            </w:pPr>
            <w:r>
              <w:t xml:space="preserve">Sofia</w:t>
            </w:r>
          </w:p>
        </w:tc>
        <w:tc>
          <w:p>
            <w:pPr>
              <w:pStyle w:val="Compact"/>
              <w:jc w:val="right"/>
            </w:pPr>
            <w:r>
              <w:t xml:space="preserve">712</w:t>
            </w:r>
          </w:p>
        </w:tc>
        <w:tc>
          <w:p>
            <w:pPr>
              <w:pStyle w:val="Compact"/>
              <w:jc w:val="right"/>
            </w:pPr>
            <w:r>
              <w:t xml:space="preserve">38.35</w:t>
            </w:r>
          </w:p>
        </w:tc>
      </w:tr>
      <w:tr>
        <w:tc>
          <w:p>
            <w:pPr>
              <w:pStyle w:val="Compact"/>
              <w:jc w:val="left"/>
            </w:pPr>
            <w:r>
              <w:t xml:space="preserve">Vakinankaratra</w:t>
            </w:r>
          </w:p>
        </w:tc>
        <w:tc>
          <w:p>
            <w:pPr>
              <w:pStyle w:val="Compact"/>
              <w:jc w:val="right"/>
            </w:pPr>
            <w:r>
              <w:t xml:space="preserve">691</w:t>
            </w:r>
          </w:p>
        </w:tc>
        <w:tc>
          <w:p>
            <w:pPr>
              <w:pStyle w:val="Compact"/>
              <w:jc w:val="right"/>
            </w:pPr>
            <w:r>
              <w:t xml:space="preserve">43.44</w:t>
            </w:r>
          </w:p>
        </w:tc>
      </w:tr>
      <w:tr>
        <w:tc>
          <w:p>
            <w:pPr>
              <w:pStyle w:val="Compact"/>
              <w:jc w:val="left"/>
            </w:pPr>
            <w:r>
              <w:t xml:space="preserve">Vatovavy-Fitovinany</w:t>
            </w:r>
          </w:p>
        </w:tc>
        <w:tc>
          <w:p>
            <w:pPr>
              <w:pStyle w:val="Compact"/>
              <w:jc w:val="right"/>
            </w:pPr>
            <w:r>
              <w:t xml:space="preserve">284</w:t>
            </w:r>
          </w:p>
        </w:tc>
        <w:tc>
          <w:p>
            <w:pPr>
              <w:pStyle w:val="Compact"/>
              <w:jc w:val="right"/>
            </w:pPr>
            <w:r>
              <w:t xml:space="preserve">36.73</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hebdomadaire COVID-19</dc:title>
  <dc:creator>Le gourmet</dc:creator>
  <cp:keywords/>
  <dcterms:created xsi:type="dcterms:W3CDTF">2021-11-05T08:55:41Z</dcterms:created>
  <dcterms:modified xsi:type="dcterms:W3CDTF">2021-11-05T08:55:41Z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11/2/2021</vt:lpwstr>
  </property>
  <property fmtid="{D5CDD505-2E9C-101B-9397-08002B2CF9AE}" pid="3" name="output">
    <vt:lpwstr>word_document</vt:lpwstr>
  </property>
</Properties>
</file>