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751E9" w14:textId="2F1396A0" w:rsidR="006F253A" w:rsidRDefault="006F253A">
      <w:bookmarkStart w:id="0" w:name="_GoBack"/>
      <w:bookmarkEnd w:id="0"/>
      <w:r>
        <w:rPr>
          <w:noProof/>
        </w:rPr>
        <w:drawing>
          <wp:inline distT="0" distB="0" distL="0" distR="0" wp14:anchorId="378B8F16" wp14:editId="7FFD0293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B6A679-AD44-4D15-AF4C-6DCB03C3B5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8BB76" wp14:editId="6F1C73A8">
            <wp:extent cx="4572000" cy="274320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6D5E25F5-D7B0-4375-9832-126F14DDB4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D864095" w14:textId="34BA93A3" w:rsidR="006F253A" w:rsidRDefault="006F253A">
      <w:r>
        <w:rPr>
          <w:noProof/>
        </w:rPr>
        <w:drawing>
          <wp:inline distT="0" distB="0" distL="0" distR="0" wp14:anchorId="74BEB59E" wp14:editId="534A73B2">
            <wp:extent cx="4572000" cy="27432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A98BD067-C6F2-47A5-966C-66374F5803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552E5" wp14:editId="008A163A">
            <wp:extent cx="4572000" cy="27432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D49E3C3D-87B9-45D8-9A71-C14F47BAE5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3FB1C6F" w14:textId="33DB1592" w:rsidR="0020674E" w:rsidRPr="00DB1FE6" w:rsidRDefault="00206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FE6">
        <w:rPr>
          <w:rFonts w:ascii="Times New Roman" w:hAnsi="Times New Roman" w:cs="Times New Roman"/>
          <w:b/>
          <w:bCs/>
          <w:sz w:val="24"/>
          <w:szCs w:val="24"/>
        </w:rPr>
        <w:t xml:space="preserve">Supplemental Figure 1: Influence of 12 drivers of </w:t>
      </w:r>
      <w:r w:rsidR="002709CE" w:rsidRPr="00DB1FE6">
        <w:rPr>
          <w:rFonts w:ascii="Times New Roman" w:hAnsi="Times New Roman" w:cs="Times New Roman"/>
          <w:b/>
          <w:bCs/>
          <w:sz w:val="24"/>
          <w:szCs w:val="24"/>
        </w:rPr>
        <w:t>food choice</w:t>
      </w:r>
      <w:r w:rsidRPr="00DB1F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1FE6">
        <w:rPr>
          <w:rFonts w:ascii="Times New Roman" w:hAnsi="Times New Roman" w:cs="Times New Roman"/>
          <w:b/>
          <w:bCs/>
          <w:sz w:val="24"/>
          <w:szCs w:val="24"/>
        </w:rPr>
        <w:t xml:space="preserve">on food purchasing decisions </w:t>
      </w:r>
      <w:r w:rsidRPr="00DB1FE6">
        <w:rPr>
          <w:rFonts w:ascii="Times New Roman" w:hAnsi="Times New Roman" w:cs="Times New Roman"/>
          <w:b/>
          <w:bCs/>
          <w:sz w:val="24"/>
          <w:szCs w:val="24"/>
        </w:rPr>
        <w:t>during the dry and rainy seasons in urban and rural areas</w:t>
      </w:r>
    </w:p>
    <w:sectPr w:rsidR="0020674E" w:rsidRPr="00DB1FE6" w:rsidSect="00CC29A8">
      <w:headerReference w:type="default" r:id="rId10"/>
      <w:pgSz w:w="15840" w:h="12240" w:orient="landscape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FCB6CF" w14:textId="77777777" w:rsidR="007E77E5" w:rsidRDefault="007E77E5" w:rsidP="00CC29A8">
      <w:pPr>
        <w:spacing w:after="0" w:line="240" w:lineRule="auto"/>
      </w:pPr>
      <w:r>
        <w:separator/>
      </w:r>
    </w:p>
  </w:endnote>
  <w:endnote w:type="continuationSeparator" w:id="0">
    <w:p w14:paraId="1665CB61" w14:textId="77777777" w:rsidR="007E77E5" w:rsidRDefault="007E77E5" w:rsidP="00CC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BA143" w14:textId="77777777" w:rsidR="007E77E5" w:rsidRDefault="007E77E5" w:rsidP="00CC29A8">
      <w:pPr>
        <w:spacing w:after="0" w:line="240" w:lineRule="auto"/>
      </w:pPr>
      <w:r>
        <w:separator/>
      </w:r>
    </w:p>
  </w:footnote>
  <w:footnote w:type="continuationSeparator" w:id="0">
    <w:p w14:paraId="20DBDB97" w14:textId="77777777" w:rsidR="007E77E5" w:rsidRDefault="007E77E5" w:rsidP="00CC2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80F04" w14:textId="0163AE90" w:rsidR="00CC29A8" w:rsidRDefault="00CC29A8">
    <w:pPr>
      <w:pStyle w:val="Header"/>
      <w:rPr>
        <w:rFonts w:ascii="Times New Roman" w:hAnsi="Times New Roman" w:cs="Times New Roman"/>
      </w:rPr>
    </w:pPr>
    <w:r w:rsidRPr="00CC29A8">
      <w:rPr>
        <w:rFonts w:ascii="Times New Roman" w:hAnsi="Times New Roman" w:cs="Times New Roman"/>
      </w:rPr>
      <w:t xml:space="preserve">Food purchasing decisions </w:t>
    </w:r>
    <w:r>
      <w:rPr>
        <w:rFonts w:ascii="Times New Roman" w:hAnsi="Times New Roman" w:cs="Times New Roman"/>
      </w:rPr>
      <w:t>–</w:t>
    </w:r>
    <w:r w:rsidRPr="00CC29A8">
      <w:rPr>
        <w:rFonts w:ascii="Times New Roman" w:hAnsi="Times New Roman" w:cs="Times New Roman"/>
      </w:rPr>
      <w:t xml:space="preserve"> Malawi</w:t>
    </w:r>
  </w:p>
  <w:p w14:paraId="6E500A58" w14:textId="77777777" w:rsidR="00CC29A8" w:rsidRPr="00CC29A8" w:rsidRDefault="00CC29A8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74E"/>
    <w:rsid w:val="0020674E"/>
    <w:rsid w:val="002709CE"/>
    <w:rsid w:val="005E1CF1"/>
    <w:rsid w:val="006F253A"/>
    <w:rsid w:val="00755EE1"/>
    <w:rsid w:val="007E77E5"/>
    <w:rsid w:val="00913EA7"/>
    <w:rsid w:val="00990921"/>
    <w:rsid w:val="00C50841"/>
    <w:rsid w:val="00CC29A8"/>
    <w:rsid w:val="00DB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9B7275"/>
  <w15:chartTrackingRefBased/>
  <w15:docId w15:val="{56F814EE-CC49-40AD-A99A-F691F54CB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6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74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C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9A8"/>
  </w:style>
  <w:style w:type="paragraph" w:styleId="Footer">
    <w:name w:val="footer"/>
    <w:basedOn w:val="Normal"/>
    <w:link w:val="FooterChar"/>
    <w:uiPriority w:val="99"/>
    <w:unhideWhenUsed/>
    <w:rsid w:val="00CC2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flax\Documents\Drivers%20of%20food%20choice\Data%20and%20analysis\Pile%20sort%20data\Graphs%20for%20paper%202020-09-12_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flax\Documents\Drivers%20of%20food%20choice\Data%20and%20analysis\Pile%20sort%20data\Graphs%20for%20paper%202020-09-12_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flax\Documents\Drivers%20of%20food%20choice\Data%20and%20analysis\Pile%20sort%20data\Graphs%20for%20paper%202020-09-12_FINA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flax\Documents\Drivers%20of%20food%20choice\Data%20and%20analysis\Pile%20sort%20data\Graphs%20for%20paper%202020-09-12_FINA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A. Dry</a:t>
            </a:r>
            <a:r>
              <a:rPr lang="en-US" baseline="0"/>
              <a:t> Season - Urban</a:t>
            </a:r>
            <a:endParaRPr lang="en-US"/>
          </a:p>
        </c:rich>
      </c:tx>
      <c:layout>
        <c:manualLayout>
          <c:xMode val="edge"/>
          <c:yMode val="edge"/>
          <c:x val="2.1631889763779492E-2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'Supplemental Figure'!$A$2</c:f>
              <c:strCache>
                <c:ptCount val="1"/>
                <c:pt idx="0">
                  <c:v>Always</c:v>
                </c:pt>
              </c:strCache>
            </c:strRef>
          </c:tx>
          <c:spPr>
            <a:solidFill>
              <a:schemeClr val="tx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Figure'!$B$1:$M$1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Figure'!$B$2:$M$2</c:f>
              <c:numCache>
                <c:formatCode>0%</c:formatCode>
                <c:ptCount val="12"/>
                <c:pt idx="0">
                  <c:v>0.67</c:v>
                </c:pt>
                <c:pt idx="1">
                  <c:v>0.48</c:v>
                </c:pt>
                <c:pt idx="2">
                  <c:v>0.54</c:v>
                </c:pt>
                <c:pt idx="3">
                  <c:v>0.57999999999999996</c:v>
                </c:pt>
                <c:pt idx="4">
                  <c:v>0.42</c:v>
                </c:pt>
                <c:pt idx="5">
                  <c:v>0.52</c:v>
                </c:pt>
                <c:pt idx="6">
                  <c:v>0.39</c:v>
                </c:pt>
                <c:pt idx="7">
                  <c:v>0.33</c:v>
                </c:pt>
                <c:pt idx="8">
                  <c:v>0.46</c:v>
                </c:pt>
                <c:pt idx="9">
                  <c:v>0.33</c:v>
                </c:pt>
                <c:pt idx="10">
                  <c:v>0.21</c:v>
                </c:pt>
                <c:pt idx="11">
                  <c:v>0.08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23-47F2-9744-E1E3A4C08E73}"/>
            </c:ext>
          </c:extLst>
        </c:ser>
        <c:ser>
          <c:idx val="1"/>
          <c:order val="1"/>
          <c:tx>
            <c:strRef>
              <c:f>'Supplemental Figure'!$A$3</c:f>
              <c:strCache>
                <c:ptCount val="1"/>
                <c:pt idx="0">
                  <c:v>Sometimes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Figure'!$B$1:$M$1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Figure'!$B$3:$M$3</c:f>
              <c:numCache>
                <c:formatCode>0%</c:formatCode>
                <c:ptCount val="12"/>
                <c:pt idx="0">
                  <c:v>0.25</c:v>
                </c:pt>
                <c:pt idx="1">
                  <c:v>0.39</c:v>
                </c:pt>
                <c:pt idx="2">
                  <c:v>0.21</c:v>
                </c:pt>
                <c:pt idx="3">
                  <c:v>0.28999999999999998</c:v>
                </c:pt>
                <c:pt idx="4">
                  <c:v>0.46</c:v>
                </c:pt>
                <c:pt idx="5">
                  <c:v>0.26</c:v>
                </c:pt>
                <c:pt idx="6">
                  <c:v>0.39</c:v>
                </c:pt>
                <c:pt idx="7">
                  <c:v>0.21</c:v>
                </c:pt>
                <c:pt idx="8">
                  <c:v>0.33</c:v>
                </c:pt>
                <c:pt idx="9">
                  <c:v>0.42</c:v>
                </c:pt>
                <c:pt idx="10">
                  <c:v>0.28999999999999998</c:v>
                </c:pt>
                <c:pt idx="11">
                  <c:v>0.42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23-47F2-9744-E1E3A4C08E73}"/>
            </c:ext>
          </c:extLst>
        </c:ser>
        <c:ser>
          <c:idx val="2"/>
          <c:order val="2"/>
          <c:tx>
            <c:strRef>
              <c:f>'Supplemental Figure'!$A$4</c:f>
              <c:strCache>
                <c:ptCount val="1"/>
                <c:pt idx="0">
                  <c:v>Never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Figure'!$B$1:$M$1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Figure'!$B$4:$M$4</c:f>
              <c:numCache>
                <c:formatCode>0%</c:formatCode>
                <c:ptCount val="12"/>
                <c:pt idx="0">
                  <c:v>0.08</c:v>
                </c:pt>
                <c:pt idx="1">
                  <c:v>0.13</c:v>
                </c:pt>
                <c:pt idx="2">
                  <c:v>0.25</c:v>
                </c:pt>
                <c:pt idx="3">
                  <c:v>0.12</c:v>
                </c:pt>
                <c:pt idx="4">
                  <c:v>0.12</c:v>
                </c:pt>
                <c:pt idx="5">
                  <c:v>0.22</c:v>
                </c:pt>
                <c:pt idx="6">
                  <c:v>0.22</c:v>
                </c:pt>
                <c:pt idx="7">
                  <c:v>0.46</c:v>
                </c:pt>
                <c:pt idx="8">
                  <c:v>0.21</c:v>
                </c:pt>
                <c:pt idx="9">
                  <c:v>0.25</c:v>
                </c:pt>
                <c:pt idx="10">
                  <c:v>0.5</c:v>
                </c:pt>
                <c:pt idx="11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923-47F2-9744-E1E3A4C08E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43233592"/>
        <c:axId val="543232280"/>
      </c:barChart>
      <c:catAx>
        <c:axId val="54323359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3232280"/>
        <c:crosses val="autoZero"/>
        <c:auto val="1"/>
        <c:lblAlgn val="ctr"/>
        <c:lblOffset val="100"/>
        <c:noMultiLvlLbl val="0"/>
      </c:catAx>
      <c:valAx>
        <c:axId val="543232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3233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B. Dry</a:t>
            </a:r>
            <a:r>
              <a:rPr lang="en-US" baseline="0"/>
              <a:t> Season - Rural</a:t>
            </a:r>
            <a:endParaRPr lang="en-US"/>
          </a:p>
        </c:rich>
      </c:tx>
      <c:layout>
        <c:manualLayout>
          <c:xMode val="edge"/>
          <c:yMode val="edge"/>
          <c:x val="2.8312335958005263E-2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'Supplemental Figure'!$A$7</c:f>
              <c:strCache>
                <c:ptCount val="1"/>
                <c:pt idx="0">
                  <c:v>Always</c:v>
                </c:pt>
              </c:strCache>
            </c:strRef>
          </c:tx>
          <c:spPr>
            <a:solidFill>
              <a:schemeClr val="tx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Figure'!$B$6:$M$6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Figure'!$B$7:$M$7</c:f>
              <c:numCache>
                <c:formatCode>0%</c:formatCode>
                <c:ptCount val="12"/>
                <c:pt idx="0">
                  <c:v>0.59</c:v>
                </c:pt>
                <c:pt idx="1">
                  <c:v>0.66</c:v>
                </c:pt>
                <c:pt idx="2">
                  <c:v>0.55000000000000004</c:v>
                </c:pt>
                <c:pt idx="3">
                  <c:v>0.48</c:v>
                </c:pt>
                <c:pt idx="4">
                  <c:v>0.55000000000000004</c:v>
                </c:pt>
                <c:pt idx="5">
                  <c:v>0.36</c:v>
                </c:pt>
                <c:pt idx="6">
                  <c:v>0.45</c:v>
                </c:pt>
                <c:pt idx="7">
                  <c:v>0.46</c:v>
                </c:pt>
                <c:pt idx="8">
                  <c:v>0.32</c:v>
                </c:pt>
                <c:pt idx="9">
                  <c:v>0.36</c:v>
                </c:pt>
                <c:pt idx="10">
                  <c:v>0.14000000000000001</c:v>
                </c:pt>
                <c:pt idx="11">
                  <c:v>0.25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D9-490E-8553-91938793A711}"/>
            </c:ext>
          </c:extLst>
        </c:ser>
        <c:ser>
          <c:idx val="1"/>
          <c:order val="1"/>
          <c:tx>
            <c:strRef>
              <c:f>'Supplemental Figure'!$A$8</c:f>
              <c:strCache>
                <c:ptCount val="1"/>
                <c:pt idx="0">
                  <c:v>Sometimes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Figure'!$B$6:$M$6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Figure'!$B$8:$M$8</c:f>
              <c:numCache>
                <c:formatCode>0%</c:formatCode>
                <c:ptCount val="12"/>
                <c:pt idx="0">
                  <c:v>0.24</c:v>
                </c:pt>
                <c:pt idx="1">
                  <c:v>0.24</c:v>
                </c:pt>
                <c:pt idx="2">
                  <c:v>0.31</c:v>
                </c:pt>
                <c:pt idx="3">
                  <c:v>0.38</c:v>
                </c:pt>
                <c:pt idx="4">
                  <c:v>0.17</c:v>
                </c:pt>
                <c:pt idx="5">
                  <c:v>0.53</c:v>
                </c:pt>
                <c:pt idx="6">
                  <c:v>0.14000000000000001</c:v>
                </c:pt>
                <c:pt idx="7">
                  <c:v>0.35</c:v>
                </c:pt>
                <c:pt idx="8">
                  <c:v>0.5</c:v>
                </c:pt>
                <c:pt idx="9">
                  <c:v>0.21</c:v>
                </c:pt>
                <c:pt idx="10">
                  <c:v>0.34</c:v>
                </c:pt>
                <c:pt idx="11">
                  <c:v>0.43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7D9-490E-8553-91938793A711}"/>
            </c:ext>
          </c:extLst>
        </c:ser>
        <c:ser>
          <c:idx val="2"/>
          <c:order val="2"/>
          <c:tx>
            <c:strRef>
              <c:f>'Supplemental Figure'!$A$9</c:f>
              <c:strCache>
                <c:ptCount val="1"/>
                <c:pt idx="0">
                  <c:v>Never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Figure'!$B$6:$M$6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Figure'!$B$9:$M$9</c:f>
              <c:numCache>
                <c:formatCode>0%</c:formatCode>
                <c:ptCount val="12"/>
                <c:pt idx="0">
                  <c:v>0.17</c:v>
                </c:pt>
                <c:pt idx="1">
                  <c:v>0.1</c:v>
                </c:pt>
                <c:pt idx="2">
                  <c:v>0.14000000000000001</c:v>
                </c:pt>
                <c:pt idx="3">
                  <c:v>0.14000000000000001</c:v>
                </c:pt>
                <c:pt idx="4">
                  <c:v>0.28000000000000003</c:v>
                </c:pt>
                <c:pt idx="5">
                  <c:v>0.11</c:v>
                </c:pt>
                <c:pt idx="6">
                  <c:v>0.41</c:v>
                </c:pt>
                <c:pt idx="7">
                  <c:v>0.19</c:v>
                </c:pt>
                <c:pt idx="8">
                  <c:v>0.18</c:v>
                </c:pt>
                <c:pt idx="9">
                  <c:v>0.43</c:v>
                </c:pt>
                <c:pt idx="10">
                  <c:v>0.52</c:v>
                </c:pt>
                <c:pt idx="11">
                  <c:v>0.32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7D9-490E-8553-91938793A7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52529696"/>
        <c:axId val="452526416"/>
      </c:barChart>
      <c:catAx>
        <c:axId val="4525296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2526416"/>
        <c:crosses val="autoZero"/>
        <c:auto val="1"/>
        <c:lblAlgn val="ctr"/>
        <c:lblOffset val="100"/>
        <c:noMultiLvlLbl val="0"/>
      </c:catAx>
      <c:valAx>
        <c:axId val="452526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2529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C.</a:t>
            </a:r>
            <a:r>
              <a:rPr lang="en-US" baseline="0"/>
              <a:t> Rainy season - Urban</a:t>
            </a:r>
            <a:endParaRPr lang="en-US"/>
          </a:p>
        </c:rich>
      </c:tx>
      <c:layout>
        <c:manualLayout>
          <c:xMode val="edge"/>
          <c:yMode val="edge"/>
          <c:x val="4.2201224846894148E-2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'Supplemental Figure'!$A$23</c:f>
              <c:strCache>
                <c:ptCount val="1"/>
                <c:pt idx="0">
                  <c:v>Always</c:v>
                </c:pt>
              </c:strCache>
            </c:strRef>
          </c:tx>
          <c:spPr>
            <a:solidFill>
              <a:schemeClr val="tx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Figure'!$B$22:$M$22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Figure'!$B$23:$M$23</c:f>
              <c:numCache>
                <c:formatCode>0%</c:formatCode>
                <c:ptCount val="12"/>
                <c:pt idx="0">
                  <c:v>0.67</c:v>
                </c:pt>
                <c:pt idx="1">
                  <c:v>0.74</c:v>
                </c:pt>
                <c:pt idx="2">
                  <c:v>0.74</c:v>
                </c:pt>
                <c:pt idx="3">
                  <c:v>0.48</c:v>
                </c:pt>
                <c:pt idx="4">
                  <c:v>0.33</c:v>
                </c:pt>
                <c:pt idx="5">
                  <c:v>0.22</c:v>
                </c:pt>
                <c:pt idx="6">
                  <c:v>0.33</c:v>
                </c:pt>
                <c:pt idx="7">
                  <c:v>0.3</c:v>
                </c:pt>
                <c:pt idx="8">
                  <c:v>0.3</c:v>
                </c:pt>
                <c:pt idx="9">
                  <c:v>7.0000000000000007E-2</c:v>
                </c:pt>
                <c:pt idx="10">
                  <c:v>0.22</c:v>
                </c:pt>
                <c:pt idx="11">
                  <c:v>0.16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EC-4B6F-B35A-3AEC7183DBC0}"/>
            </c:ext>
          </c:extLst>
        </c:ser>
        <c:ser>
          <c:idx val="1"/>
          <c:order val="1"/>
          <c:tx>
            <c:strRef>
              <c:f>'Supplemental Figure'!$A$24</c:f>
              <c:strCache>
                <c:ptCount val="1"/>
                <c:pt idx="0">
                  <c:v>Sometimes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Figure'!$B$22:$M$22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Figure'!$B$24:$M$24</c:f>
              <c:numCache>
                <c:formatCode>0%</c:formatCode>
                <c:ptCount val="12"/>
                <c:pt idx="0">
                  <c:v>0.33</c:v>
                </c:pt>
                <c:pt idx="1">
                  <c:v>0.22</c:v>
                </c:pt>
                <c:pt idx="2">
                  <c:v>0.15</c:v>
                </c:pt>
                <c:pt idx="3">
                  <c:v>0.3</c:v>
                </c:pt>
                <c:pt idx="4">
                  <c:v>0.48</c:v>
                </c:pt>
                <c:pt idx="5">
                  <c:v>0.48</c:v>
                </c:pt>
                <c:pt idx="6">
                  <c:v>0.37</c:v>
                </c:pt>
                <c:pt idx="7">
                  <c:v>0.44</c:v>
                </c:pt>
                <c:pt idx="8">
                  <c:v>0.55000000000000004</c:v>
                </c:pt>
                <c:pt idx="9">
                  <c:v>0.37</c:v>
                </c:pt>
                <c:pt idx="10">
                  <c:v>0.41</c:v>
                </c:pt>
                <c:pt idx="11">
                  <c:v>0.42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2EC-4B6F-B35A-3AEC7183DBC0}"/>
            </c:ext>
          </c:extLst>
        </c:ser>
        <c:ser>
          <c:idx val="2"/>
          <c:order val="2"/>
          <c:tx>
            <c:strRef>
              <c:f>'Supplemental Figure'!$A$25</c:f>
              <c:strCache>
                <c:ptCount val="1"/>
                <c:pt idx="0">
                  <c:v>Never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Figure'!$B$22:$M$22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Figure'!$B$25:$M$25</c:f>
              <c:numCache>
                <c:formatCode>0%</c:formatCode>
                <c:ptCount val="12"/>
                <c:pt idx="0">
                  <c:v>0</c:v>
                </c:pt>
                <c:pt idx="1">
                  <c:v>0.04</c:v>
                </c:pt>
                <c:pt idx="2">
                  <c:v>0.11</c:v>
                </c:pt>
                <c:pt idx="3">
                  <c:v>0.22</c:v>
                </c:pt>
                <c:pt idx="4">
                  <c:v>0.19</c:v>
                </c:pt>
                <c:pt idx="5">
                  <c:v>0.3</c:v>
                </c:pt>
                <c:pt idx="6">
                  <c:v>0.3</c:v>
                </c:pt>
                <c:pt idx="7">
                  <c:v>0.26</c:v>
                </c:pt>
                <c:pt idx="8">
                  <c:v>0.15</c:v>
                </c:pt>
                <c:pt idx="9">
                  <c:v>0.56000000000000005</c:v>
                </c:pt>
                <c:pt idx="10">
                  <c:v>0.37</c:v>
                </c:pt>
                <c:pt idx="11">
                  <c:v>0.42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2EC-4B6F-B35A-3AEC7183DB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627218296"/>
        <c:axId val="627213048"/>
      </c:barChart>
      <c:catAx>
        <c:axId val="6272182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7213048"/>
        <c:crosses val="autoZero"/>
        <c:auto val="1"/>
        <c:lblAlgn val="ctr"/>
        <c:lblOffset val="100"/>
        <c:noMultiLvlLbl val="0"/>
      </c:catAx>
      <c:valAx>
        <c:axId val="627213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7218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D.</a:t>
            </a:r>
            <a:r>
              <a:rPr lang="en-US" baseline="0"/>
              <a:t> Rainy Season - Rural</a:t>
            </a:r>
            <a:endParaRPr lang="en-US"/>
          </a:p>
        </c:rich>
      </c:tx>
      <c:layout>
        <c:manualLayout>
          <c:xMode val="edge"/>
          <c:yMode val="edge"/>
          <c:x val="3.449300087489067E-2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'Supplemental Figure'!$A$29</c:f>
              <c:strCache>
                <c:ptCount val="1"/>
                <c:pt idx="0">
                  <c:v>Always</c:v>
                </c:pt>
              </c:strCache>
            </c:strRef>
          </c:tx>
          <c:spPr>
            <a:solidFill>
              <a:schemeClr val="tx1"/>
            </a:solidFill>
            <a:ln>
              <a:solidFill>
                <a:sysClr val="windowText" lastClr="000000"/>
              </a:solidFill>
            </a:ln>
            <a:effectLst/>
          </c:spPr>
          <c:invertIfNegative val="0"/>
          <c:cat>
            <c:strRef>
              <c:f>'Supplemental Figure'!$B$28:$M$28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Figure'!$B$29:$M$29</c:f>
              <c:numCache>
                <c:formatCode>0%</c:formatCode>
                <c:ptCount val="12"/>
                <c:pt idx="0">
                  <c:v>0.59</c:v>
                </c:pt>
                <c:pt idx="1">
                  <c:v>0.67</c:v>
                </c:pt>
                <c:pt idx="2">
                  <c:v>0.74</c:v>
                </c:pt>
                <c:pt idx="3">
                  <c:v>0.41</c:v>
                </c:pt>
                <c:pt idx="4">
                  <c:v>0.44</c:v>
                </c:pt>
                <c:pt idx="5">
                  <c:v>0.39</c:v>
                </c:pt>
                <c:pt idx="6">
                  <c:v>0.44</c:v>
                </c:pt>
                <c:pt idx="7">
                  <c:v>0.3</c:v>
                </c:pt>
                <c:pt idx="8">
                  <c:v>0.41</c:v>
                </c:pt>
                <c:pt idx="9">
                  <c:v>0.19</c:v>
                </c:pt>
                <c:pt idx="10">
                  <c:v>0.11</c:v>
                </c:pt>
                <c:pt idx="11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55-428D-B376-AF89AE748711}"/>
            </c:ext>
          </c:extLst>
        </c:ser>
        <c:ser>
          <c:idx val="1"/>
          <c:order val="1"/>
          <c:tx>
            <c:strRef>
              <c:f>'Supplemental Figure'!$A$30</c:f>
              <c:strCache>
                <c:ptCount val="1"/>
                <c:pt idx="0">
                  <c:v>Sometimes</c:v>
                </c:pt>
              </c:strCache>
            </c:strRef>
          </c:tx>
          <c:spPr>
            <a:solidFill>
              <a:schemeClr val="bg2">
                <a:lumMod val="75000"/>
              </a:scheme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Figure'!$B$28:$M$28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Figure'!$B$30:$M$30</c:f>
              <c:numCache>
                <c:formatCode>0%</c:formatCode>
                <c:ptCount val="12"/>
                <c:pt idx="0">
                  <c:v>0.26</c:v>
                </c:pt>
                <c:pt idx="1">
                  <c:v>0.15</c:v>
                </c:pt>
                <c:pt idx="2">
                  <c:v>0.26</c:v>
                </c:pt>
                <c:pt idx="3">
                  <c:v>0.44</c:v>
                </c:pt>
                <c:pt idx="4">
                  <c:v>0.3</c:v>
                </c:pt>
                <c:pt idx="5">
                  <c:v>0.42</c:v>
                </c:pt>
                <c:pt idx="6">
                  <c:v>0.37</c:v>
                </c:pt>
                <c:pt idx="7">
                  <c:v>0.52</c:v>
                </c:pt>
                <c:pt idx="8">
                  <c:v>0.52</c:v>
                </c:pt>
                <c:pt idx="9">
                  <c:v>0.46</c:v>
                </c:pt>
                <c:pt idx="10">
                  <c:v>0.33</c:v>
                </c:pt>
                <c:pt idx="11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255-428D-B376-AF89AE748711}"/>
            </c:ext>
          </c:extLst>
        </c:ser>
        <c:ser>
          <c:idx val="2"/>
          <c:order val="2"/>
          <c:tx>
            <c:strRef>
              <c:f>'Supplemental Figure'!$A$31</c:f>
              <c:strCache>
                <c:ptCount val="1"/>
                <c:pt idx="0">
                  <c:v>Never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'Supplemental Figure'!$B$28:$M$28</c:f>
              <c:strCache>
                <c:ptCount val="12"/>
                <c:pt idx="0">
                  <c:v>Taste</c:v>
                </c:pt>
                <c:pt idx="1">
                  <c:v>Hunger/appetite</c:v>
                </c:pt>
                <c:pt idx="2">
                  <c:v>Cost of food</c:v>
                </c:pt>
                <c:pt idx="3">
                  <c:v>Perceived healthiness of foods</c:v>
                </c:pt>
                <c:pt idx="4">
                  <c:v>Cooking skills</c:v>
                </c:pt>
                <c:pt idx="5">
                  <c:v>Seasonal availability</c:v>
                </c:pt>
                <c:pt idx="6">
                  <c:v>Time available for cooking</c:v>
                </c:pt>
                <c:pt idx="7">
                  <c:v>Foods linked with health state</c:v>
                </c:pt>
                <c:pt idx="8">
                  <c:v>Mood</c:v>
                </c:pt>
                <c:pt idx="9">
                  <c:v>Marketing/advertisements</c:v>
                </c:pt>
                <c:pt idx="10">
                  <c:v>Attitudes/beliefs about foods</c:v>
                </c:pt>
                <c:pt idx="11">
                  <c:v>Food safety</c:v>
                </c:pt>
              </c:strCache>
            </c:strRef>
          </c:cat>
          <c:val>
            <c:numRef>
              <c:f>'Supplemental Figure'!$B$31:$M$31</c:f>
              <c:numCache>
                <c:formatCode>0%</c:formatCode>
                <c:ptCount val="12"/>
                <c:pt idx="0">
                  <c:v>0.15</c:v>
                </c:pt>
                <c:pt idx="1">
                  <c:v>0.18</c:v>
                </c:pt>
                <c:pt idx="2">
                  <c:v>0</c:v>
                </c:pt>
                <c:pt idx="3">
                  <c:v>0.15</c:v>
                </c:pt>
                <c:pt idx="4">
                  <c:v>0.26</c:v>
                </c:pt>
                <c:pt idx="5">
                  <c:v>0.19</c:v>
                </c:pt>
                <c:pt idx="6">
                  <c:v>0.19</c:v>
                </c:pt>
                <c:pt idx="7">
                  <c:v>0.18</c:v>
                </c:pt>
                <c:pt idx="8">
                  <c:v>7.0000000000000007E-2</c:v>
                </c:pt>
                <c:pt idx="9">
                  <c:v>0.35</c:v>
                </c:pt>
                <c:pt idx="10">
                  <c:v>0.56000000000000005</c:v>
                </c:pt>
                <c:pt idx="11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255-428D-B376-AF89AE7487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99589856"/>
        <c:axId val="599584608"/>
      </c:barChart>
      <c:catAx>
        <c:axId val="5995898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9584608"/>
        <c:crosses val="autoZero"/>
        <c:auto val="1"/>
        <c:lblAlgn val="ctr"/>
        <c:lblOffset val="100"/>
        <c:noMultiLvlLbl val="0"/>
      </c:catAx>
      <c:valAx>
        <c:axId val="5995846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9589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Flax, Valerie</dc:creator>
  <cp:keywords/>
  <dc:description/>
  <cp:lastModifiedBy>Santhanam  V</cp:lastModifiedBy>
  <cp:revision>5</cp:revision>
  <dcterms:created xsi:type="dcterms:W3CDTF">2020-09-12T17:12:00Z</dcterms:created>
  <dcterms:modified xsi:type="dcterms:W3CDTF">2020-09-22T19:40:00Z</dcterms:modified>
</cp:coreProperties>
</file>