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einstellbox.ch ag</w:t>
      </w:r>
    </w:p>
    <w:p w:rsidR="003370B4" w:rsidP="00E94428" w:rsidRDefault="00093DB9"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David Achermann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Südringstrasse 73</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4563 Gerlafingen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+41 77 484 50 99</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davidachermann@gawnet.ch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5</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093DB9"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01.07.2024</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31.12.2024</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093DB9"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DE2F37" w:rsidR="00257CF2" w:rsidTr="00E94428" w14:paraId="3A04A74C" w14:textId="77777777">
              <w:tc>
                <w:tcPr>
                  <w:tcW w:w="9062" w:type="dxa"/>
                </w:tcPr>
                <w:p w:rsidRPr="00DE2F37" w:rsidR="00257CF2" w:rsidP="00E94428" w:rsidRDefault="00257CF2" w14:paraId="0F83667A" w14:textId="77777777">
                  <w:pPr>
                    <w:rPr>
                      <w:rFonts w:ascii="Arial" w:hAnsi="Arial" w:cs="Arial" w:eastAsiaTheme="majorEastAsia"/>
                      <w:b/>
                      <w:bCs/>
                      <w:color w:val="333333"/>
                      <w:sz w:val="19"/>
                      <w:szCs w:val="19"/>
                    </w:rPr>
                  </w:pPr>
                  <w:r w:rsidRPr="00DE2F37">
                    <w:rPr>
                      <w:rFonts w:ascii="Arial" w:hAnsi="Arial" w:cs="Arial" w:eastAsiaTheme="majorEastAsia"/>
                      <w:b/>
                      <w:bCs/>
                      <w:color w:val="333333"/>
                      <w:sz w:val="18"/>
                      <w:szCs w:val="18"/>
                    </w:rPr>
                    <w:t xml:space="preserve">  </w:t>
                  </w:r>
                  <w:r w:rsidRPr="00DE2F37">
                    <w:rPr>
                      <w:rFonts w:ascii="Arial" w:hAnsi="Arial" w:cs="Arial" w:eastAsiaTheme="majorEastAsia"/>
                      <w:b/>
                      <w:bCs/>
                      <w:color w:val="333333"/>
                      <w:sz w:val="19"/>
                      <w:szCs w:val="19"/>
                    </w:rPr>
                    <w:t>Mietzins</w:t>
                  </w:r>
                  <w:r w:rsidRPr="00DE2F37">
                    <w:rPr>
                      <w:rFonts w:ascii="Arial" w:hAnsi="Arial" w:cs="Arial" w:eastAsiaTheme="majorEastAsia"/>
                      <w:b/>
                      <w:bCs/>
                      <w:color w:val="333333"/>
                      <w:sz w:val="19"/>
                      <w:szCs w:val="19"/>
                    </w:rPr>
                    <w:t xml:space="preserve"> </w:t>
                  </w:r>
                  <w:r w:rsidRPr="00DE2F37">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Basisbox</w:t>
                  </w:r>
                  <w:proofErr w:type="spellStart"/>
                  <w:proofErr w:type="spellEnd"/>
                  <w:r w:rsidRPr="00DE2F37">
                    <w:rPr>
                      <w:rFonts w:ascii="Arial" w:hAnsi="Arial" w:cs="Arial"/>
                      <w:b/>
                      <w:bCs/>
                      <w:color w:val="333333"/>
                      <w:sz w:val="19"/>
                      <w:szCs w:val="19"/>
                      <w:shd w:val="clear" w:color="auto" w:fill="FFFFFF"/>
                    </w:rPr>
                    <w:t xml:space="preserve"> </w:t>
                  </w: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w:t>
                  </w:r>
                  <w:proofErr w:type="spellStart"/>
                  <w:proofErr w:type="spellEnd"/>
                  <w:r w:rsidRPr="00DE2F37">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54"/>
                    <w:gridCol w:w="3154"/>
                    <w:gridCol w:w="1149"/>
                    <w:gridCol w:w="1863"/>
                    <w:gridCol w:w="449"/>
                    <w:gridCol w:w="1359"/>
                    <w:gridCol w:w="6"/>
                  </w:tblGrid>
                  <w:tr w:rsidRPr="00DE2F37" w:rsidR="00257CF2" w:rsidTr="0019155F" w14:paraId="2A065AC3" w14:textId="77777777">
                    <w:trPr>
                      <w:cantSplit/>
                    </w:trPr>
                    <w:tc>
                      <w:tcPr>
                        <w:tcW w:w="6820" w:type="dxa"/>
                        <w:gridSpan w:val="4"/>
                      </w:tcPr>
                      <w:p w:rsidRPr="00DE2F37" w:rsidR="00257CF2" w:rsidP="00E94428" w:rsidRDefault="00257CF2" w14:paraId="3EFF1616" w14:textId="3BFB7A56">
                        <w:pP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Basisbox</w:t>
                        </w:r>
                        <w:proofErr w:type="spellStart"/>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7.40 m x B 3.56 m x H 4.20 m (26.34 m2) </w:t>
                        </w:r>
                        <w:proofErr w:type="spellStart"/>
                        <w:proofErr w:type="spellEnd"/>
                        <w:r w:rsidRPr="00DE2F37">
                          <w:rPr>
                            <w:rFonts w:ascii="Arial" w:hAnsi="Arial" w:cs="Arial"/>
                            <w:color w:val="333333"/>
                            <w:sz w:val="19"/>
                            <w:szCs w:val="19"/>
                            <w:shd w:val="clear" w:color="auto" w:fill="FFFFFF"/>
                          </w:rPr>
                          <w:t xml:space="preserve"/>
                        </w:r>
                      </w:p>
                      <w:p w:rsidRPr="00DE2F37" w:rsidR="00257CF2" w:rsidP="00E94428" w:rsidRDefault="00257CF2" w14:paraId="5AFF1392" w14:textId="77777777">
                        <w:pPr>
                          <w:rPr>
                            <w:rFonts w:ascii="Arial" w:hAnsi="Arial" w:cs="Arial"/>
                            <w:sz w:val="19"/>
                            <w:szCs w:val="19"/>
                          </w:rPr>
                        </w:pPr>
                      </w:p>
                    </w:tc>
                    <w:tc>
                      <w:tcPr>
                        <w:tcW w:w="449" w:type="dxa"/>
                      </w:tcPr>
                      <w:p w:rsidRPr="00DE2F37" w:rsidR="00257CF2" w:rsidP="00E94428" w:rsidRDefault="00257CF2" w14:paraId="069EB01E" w14:textId="77777777">
                        <w:pPr>
                          <w:jc w:val="right"/>
                          <w:rPr>
                            <w:rFonts w:ascii="Arial" w:hAnsi="Arial" w:cs="Arial"/>
                            <w:sz w:val="19"/>
                            <w:szCs w:val="19"/>
                          </w:rPr>
                        </w:pPr>
                        <w:r w:rsidRPr="00DE2F37">
                          <w:rPr>
                            <w:rFonts w:ascii="Arial" w:hAnsi="Arial" w:cs="Arial"/>
                            <w:sz w:val="19"/>
                            <w:szCs w:val="19"/>
                          </w:rPr>
                          <w:t>Fr.</w:t>
                        </w:r>
                      </w:p>
                    </w:tc>
                    <w:tc>
                      <w:tcPr>
                        <w:tcW w:w="1365" w:type="dxa"/>
                        <w:gridSpan w:val="2"/>
                      </w:tcPr>
                      <w:p w:rsidRPr="00DE2F37" w:rsidR="00257CF2" w:rsidP="00E94428" w:rsidRDefault="00257CF2" w14:paraId="10D72DD7" w14:textId="77777777">
                        <w:pPr>
                          <w:jc w:val="right"/>
                          <w:rPr>
                            <w:rFonts w:ascii="Arial" w:hAnsi="Arial" w:cs="Arial"/>
                            <w:sz w:val="19"/>
                            <w:szCs w:val="19"/>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310.00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D43799C" w14:textId="77777777">
                    <w:trPr>
                      <w:cantSplit/>
                    </w:trPr>
                    <w:tc>
                      <w:tcPr>
                        <w:tcW w:w="693" w:type="dxa"/>
                      </w:tcPr>
                      <w:p w:rsidRPr="00DE2F37" w:rsidR="00257CF2" w:rsidP="00E94428" w:rsidRDefault="00257CF2" w14:paraId="50D4B385" w14:textId="77777777">
                        <w:pPr>
                          <w:jc w:val="right"/>
                          <w:rPr>
                            <w:rFonts w:ascii="Arial" w:hAnsi="Arial" w:cs="Arial"/>
                            <w:color w:val="333333"/>
                            <w:sz w:val="19"/>
                            <w:szCs w:val="19"/>
                            <w:shd w:val="clear" w:color="auto" w:fill="FFFFFF"/>
                          </w:rPr>
                        </w:pPr>
                      </w:p>
                    </w:tc>
                    <w:tc>
                      <w:tcPr>
                        <w:tcW w:w="3306" w:type="dxa"/>
                      </w:tcPr>
                      <w:p w:rsidRPr="00DE2F37" w:rsidR="00257CF2" w:rsidP="00E94428" w:rsidRDefault="00257CF2" w14:paraId="0AF7D681"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Nebenkosten (Für Reinigung, Hauswartung):</w:t>
                        </w:r>
                      </w:p>
                    </w:tc>
                    <w:tc>
                      <w:tcPr>
                        <w:tcW w:w="1178" w:type="dxa"/>
                      </w:tcPr>
                      <w:p w:rsidRPr="00DE2F37" w:rsidR="00257CF2" w:rsidP="004C1098" w:rsidRDefault="004C1098" w14:paraId="60ECB687" w14:textId="3A89C8BF">
                        <w:pPr>
                          <w:ind w:right="-10"/>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sidR="00F513E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74234490" w14:textId="77777777">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pauschal</w:t>
                        </w:r>
                      </w:p>
                    </w:tc>
                    <w:tc>
                      <w:tcPr>
                        <w:tcW w:w="449" w:type="dxa"/>
                      </w:tcPr>
                      <w:p w:rsidRPr="00DE2F37" w:rsidR="00257CF2" w:rsidP="00E94428" w:rsidRDefault="00257CF2" w14:paraId="080A3B42"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65" w:type="dxa"/>
                        <w:gridSpan w:val="2"/>
                      </w:tcPr>
                      <w:p w:rsidRPr="00DE2F37" w:rsidR="00257CF2" w:rsidP="00E94428" w:rsidRDefault="00257CF2" w14:paraId="0B8FF8A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15.50</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03EBD8C9" w14:textId="77777777">
                    <w:trPr>
                      <w:gridAfter w:val="1"/>
                      <w:wAfter w:w="6" w:type="dxa"/>
                      <w:cantSplit/>
                    </w:trPr>
                    <w:tc>
                      <w:tcPr>
                        <w:tcW w:w="693" w:type="dxa"/>
                      </w:tcPr>
                      <w:p w:rsidRPr="00DE2F37"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7CA568E"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Strom:</w:t>
                        </w:r>
                      </w:p>
                    </w:tc>
                    <w:tc>
                      <w:tcPr>
                        <w:tcW w:w="1178" w:type="dxa"/>
                      </w:tcPr>
                      <w:p w:rsidRPr="00DE2F37" w:rsidR="00257CF2" w:rsidP="00E94428" w:rsidRDefault="00257CF2" w14:paraId="28677382"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DF4A9F" w:rsidRDefault="00257CF2" w14:paraId="23C707B0" w14:textId="5339F58D">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akonto</w:t>
                        </w:r>
                        <w:proofErr w:type="spellStart"/>
                        <w:proofErr w:type="spellEnd"/>
                        <w:bookmarkStart w:name="_GoBack" w:id="10"/>
                        <w:bookmarkEnd w:id="10"/>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257EAD0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59" w:type="dxa"/>
                      </w:tcPr>
                      <w:p w:rsidRPr="00DE2F37" w:rsidR="00257CF2" w:rsidP="00E94428" w:rsidRDefault="00257CF2" w14:paraId="07C0A0F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4FF2DFAA" w14:textId="77777777">
                    <w:trPr>
                      <w:gridAfter w:val="1"/>
                      <w:wAfter w:w="6" w:type="dxa"/>
                      <w:cantSplit/>
                    </w:trPr>
                    <w:tc>
                      <w:tcPr>
                        <w:tcW w:w="3999" w:type="dxa"/>
                        <w:gridSpan w:val="2"/>
                      </w:tcPr>
                      <w:p w:rsidRPr="00DE2F37" w:rsidR="00257CF2" w:rsidP="00E94428" w:rsidRDefault="00257CF2" w14:paraId="09E83B37" w14:textId="68A122E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Wasser: (Kalt-, Abwasser, Trögli, inkl. Wasserverbrauch) </w:t>
                        </w:r>
                      </w:p>
                    </w:tc>
                    <w:tc>
                      <w:tcPr>
                        <w:tcW w:w="1178" w:type="dxa"/>
                      </w:tcPr>
                      <w:p w:rsidRPr="00DE2F37" w:rsidR="00257CF2" w:rsidP="00E94428" w:rsidRDefault="00257CF2" w14:paraId="2D345631"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BDB6BE5"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BC6FEB8"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5C269A1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1F55ECC" w14:textId="77777777">
                    <w:trPr>
                      <w:gridAfter w:val="1"/>
                      <w:wAfter w:w="6" w:type="dxa"/>
                      <w:cantSplit/>
                    </w:trPr>
                    <w:tc>
                      <w:tcPr>
                        <w:tcW w:w="693" w:type="dxa"/>
                      </w:tcPr>
                      <w:p w:rsidRPr="00DE2F37"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1EFDAE83" w14:textId="291EF8D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Internet</w:t>
                        </w:r>
                        <w:r w:rsidRPr="00DE2F37" w:rsidR="002526E6">
                          <w:rPr>
                            <w:rFonts w:ascii="Arial" w:hAnsi="Arial" w:cs="Arial"/>
                            <w:color w:val="333333"/>
                            <w:sz w:val="19"/>
                            <w:szCs w:val="19"/>
                            <w:shd w:val="clear" w:color="auto" w:fill="FFFFFF"/>
                          </w:rPr>
                          <w:t xml:space="preserve"> </w:t>
                        </w:r>
                        <w:r w:rsidRPr="00DE2F37"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Pr="00DE2F37" w:rsidR="002526E6">
                          <w:rPr>
                            <w:rFonts w:ascii="Arial" w:hAnsi="Arial" w:cs="Arial"/>
                            <w:color w:val="333333"/>
                            <w:sz w:val="19"/>
                            <w:szCs w:val="19"/>
                            <w:shd w:val="clear" w:color="auto" w:fill="FFFFFF"/>
                          </w:rPr>
                          <w:t xml:space="preserve"/>
                        </w:r>
                        <w:r w:rsidRPr="00DE2F37">
                          <w:rPr>
                            <w:rFonts w:ascii="Arial" w:hAnsi="Arial" w:cs="Arial"/>
                            <w:color w:val="333333"/>
                            <w:sz w:val="19"/>
                            <w:szCs w:val="19"/>
                            <w:shd w:val="clear" w:color="auto" w:fill="FFFFFF"/>
                          </w:rPr>
                          <w:t>:</w:t>
                        </w:r>
                      </w:p>
                    </w:tc>
                    <w:tc>
                      <w:tcPr>
                        <w:tcW w:w="1178" w:type="dxa"/>
                      </w:tcPr>
                      <w:p w:rsidRPr="00DE2F37" w:rsidR="00257CF2" w:rsidP="00E94428" w:rsidRDefault="00257CF2" w14:paraId="051CA78B" w14:textId="0113FA01">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37542BB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31D78A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0CAB47FD"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62F1D45E" w14:textId="77777777">
                    <w:trPr>
                      <w:gridAfter w:val="1"/>
                      <w:wAfter w:w="6" w:type="dxa"/>
                      <w:cantSplit/>
                    </w:trPr>
                    <w:tc>
                      <w:tcPr>
                        <w:tcW w:w="693" w:type="dxa"/>
                      </w:tcPr>
                      <w:p w:rsidRPr="00DE2F37"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5B3CA799"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Heizung:</w:t>
                        </w:r>
                      </w:p>
                    </w:tc>
                    <w:tc>
                      <w:tcPr>
                        <w:tcW w:w="1178" w:type="dxa"/>
                      </w:tcPr>
                      <w:p w:rsidRPr="00DE2F37" w:rsidR="00257CF2" w:rsidP="00E94428" w:rsidRDefault="00257CF2" w14:paraId="40F68394"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C22AD4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695ED8A1"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A9962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7EC995D6" w14:textId="77777777">
                    <w:trPr>
                      <w:gridAfter w:val="1"/>
                      <w:wAfter w:w="6" w:type="dxa"/>
                      <w:cantSplit/>
                    </w:trPr>
                    <w:tc>
                      <w:tcPr>
                        <w:tcW w:w="693" w:type="dxa"/>
                      </w:tcPr>
                      <w:p w:rsidRPr="00DE2F37"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DE2F37">
                          <w:rPr>
                            <w:rFonts w:ascii="Arial" w:hAnsi="Arial" w:cs="Arial"/>
                            <w:color w:val="333333"/>
                            <w:sz w:val="19"/>
                            <w:szCs w:val="19"/>
                            <w:shd w:val="clear" w:color="auto" w:fill="FFFFFF"/>
                          </w:rPr>
                          <w:t>MwSt</w:t>
                        </w:r>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sidRPr="00DE2F37">
                          <w:rPr>
                            <w:rFonts w:ascii="Arial" w:hAnsi="Arial" w:cs="Arial"/>
                            <w:color w:val="333333"/>
                            <w:sz w:val="19"/>
                            <w:szCs w:val="19"/>
                            <w:shd w:val="clear" w:color="auto" w:fill="FFFFFF"/>
                          </w:rPr>
                          <w:t xml:space="preserve"> %</w:t>
                        </w:r>
                      </w:p>
                    </w:tc>
                    <w:tc>
                      <w:tcPr>
                        <w:tcW w:w="449" w:type="dxa"/>
                      </w:tcPr>
                      <w:p w:rsidRPr="00DE2F37" w:rsidR="00257CF2" w:rsidP="00E94428" w:rsidRDefault="00257CF2" w14:paraId="0E383715"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1DA5DAD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26.75</w:t>
                        </w:r>
                        <w:proofErr w:type="spellStart"/>
                        <w:proofErr w:type="spellEnd"/>
                        <w:r w:rsidRPr="00DE2F37">
                          <w:rPr>
                            <w:rFonts w:ascii="Arial" w:hAnsi="Arial" w:cs="Arial"/>
                            <w:color w:val="333333"/>
                            <w:sz w:val="19"/>
                            <w:szCs w:val="19"/>
                            <w:shd w:val="clear" w:color="auto" w:fill="FFFFFF"/>
                            <w:lang w:val="en-US"/>
                          </w:rPr>
                          <w:t xml:space="preserve"/>
                        </w:r>
                      </w:p>
                    </w:tc>
                  </w:tr>
                  <w:tr w:rsidRPr="00DE2F37" w:rsidR="00257CF2" w:rsidTr="0019155F" w14:paraId="480747E0" w14:textId="77777777">
                    <w:trPr>
                      <w:gridAfter w:val="1"/>
                      <w:wAfter w:w="6" w:type="dxa"/>
                      <w:cantSplit/>
                      <w:trHeight w:val="230"/>
                    </w:trPr>
                    <w:tc>
                      <w:tcPr>
                        <w:tcW w:w="693" w:type="dxa"/>
                        <w:vMerge w:val="restart"/>
                      </w:tcPr>
                      <w:p w:rsidRPr="00DE2F37"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DE2F37"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DE2F37"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DE2F37"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DE2F37"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3FA56B04" w14:textId="77777777">
                        <w:pPr>
                          <w:jc w:val="center"/>
                          <w:rPr>
                            <w:rFonts w:ascii="Arial" w:hAnsi="Arial" w:cs="Arial"/>
                            <w:color w:val="333333"/>
                            <w:sz w:val="19"/>
                            <w:szCs w:val="19"/>
                            <w:shd w:val="clear" w:color="auto" w:fill="FFFFFF"/>
                            <w:lang w:val="en-US"/>
                          </w:rPr>
                        </w:pPr>
                      </w:p>
                    </w:tc>
                  </w:tr>
                  <w:tr w:rsidRPr="00DE2F37" w:rsidR="00257CF2" w:rsidTr="0019155F" w14:paraId="6BEC2E3F" w14:textId="77777777">
                    <w:trPr>
                      <w:gridAfter w:val="1"/>
                      <w:wAfter w:w="6" w:type="dxa"/>
                      <w:cantSplit/>
                      <w:trHeight w:val="105"/>
                    </w:trPr>
                    <w:tc>
                      <w:tcPr>
                        <w:tcW w:w="693" w:type="dxa"/>
                        <w:vMerge/>
                      </w:tcPr>
                      <w:p w:rsidRPr="00DE2F37"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DE2F37"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DE2F37"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DE2F37"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DE2F37"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5819AC19" w14:textId="77777777">
                        <w:pPr>
                          <w:jc w:val="right"/>
                          <w:rPr>
                            <w:rFonts w:ascii="Arial" w:hAnsi="Arial" w:cs="Arial"/>
                            <w:color w:val="333333"/>
                            <w:sz w:val="19"/>
                            <w:szCs w:val="19"/>
                            <w:shd w:val="clear" w:color="auto" w:fill="FFFFFF"/>
                            <w:lang w:val="en-US"/>
                          </w:rPr>
                        </w:pPr>
                      </w:p>
                    </w:tc>
                  </w:tr>
                  <w:tr w:rsidRPr="00DE2F37" w:rsidR="00257CF2" w:rsidTr="0019155F" w14:paraId="6B7508C6" w14:textId="77777777">
                    <w:trPr>
                      <w:gridAfter w:val="1"/>
                      <w:wAfter w:w="6" w:type="dxa"/>
                      <w:cantSplit/>
                    </w:trPr>
                    <w:tc>
                      <w:tcPr>
                        <w:tcW w:w="693" w:type="dxa"/>
                      </w:tcPr>
                      <w:p w:rsidRPr="00DE2F37"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2C58B217"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Total pro Monat.</w:t>
                        </w:r>
                      </w:p>
                    </w:tc>
                    <w:tc>
                      <w:tcPr>
                        <w:tcW w:w="449" w:type="dxa"/>
                      </w:tcPr>
                      <w:p w:rsidRPr="00DE2F37" w:rsidR="00257CF2" w:rsidP="00E94428" w:rsidRDefault="00257CF2" w14:paraId="61B4F9D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DE2F37">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357.25</w:t>
                        </w:r>
                        <w:proofErr w:type="spellStart"/>
                        <w:proofErr w:type="spellEnd"/>
                        <w:r w:rsidRPr="00DE2F37">
                          <w:rPr>
                            <w:rFonts w:ascii="Arial" w:hAnsi="Arial" w:cs="Arial"/>
                            <w:b/>
                            <w:bCs/>
                            <w:color w:val="333333"/>
                            <w:sz w:val="19"/>
                            <w:szCs w:val="19"/>
                            <w:shd w:val="clear" w:color="auto" w:fill="FFFFFF"/>
                            <w:lang w:val="en-US"/>
                          </w:rPr>
                          <w:br/>
                        </w:r>
                        <w:proofErr w:type="spellStart"/>
                        <w:proofErr w:type="spellEnd"/>
                        <w:r w:rsidRPr="00DE2F37">
                          <w:rPr>
                            <w:rFonts w:ascii="Arial" w:hAnsi="Arial" w:cs="Arial"/>
                            <w:b/>
                            <w:bCs/>
                            <w:color w:val="333333"/>
                            <w:sz w:val="19"/>
                            <w:szCs w:val="19"/>
                            <w:shd w:val="clear" w:color="auto" w:fill="FFFFFF"/>
                            <w:lang w:val="en-US"/>
                          </w:rPr>
                          <w:t xml:space="preserve"/>
                        </w:r>
                      </w:p>
                    </w:tc>
                  </w:tr>
                  <w:tr w:rsidRPr="00DE2F37" w:rsidR="00257CF2" w:rsidTr="0019155F" w14:paraId="082E646B" w14:textId="77777777">
                    <w:trPr>
                      <w:cantSplit/>
                    </w:trPr>
                    <w:tc>
                      <w:tcPr>
                        <w:tcW w:w="8634" w:type="dxa"/>
                        <w:gridSpan w:val="7"/>
                      </w:tcPr>
                      <w:p w:rsidRPr="00DE2F37" w:rsidR="00257CF2" w:rsidP="00E94428" w:rsidRDefault="00257CF2" w14:paraId="03DE74AB" w14:textId="77777777">
                        <w:pPr>
                          <w:rPr>
                            <w:rFonts w:ascii="Arial" w:hAnsi="Arial" w:cs="Arial"/>
                            <w:b/>
                            <w:bCs/>
                            <w:color w:val="333333"/>
                            <w:sz w:val="18"/>
                            <w:szCs w:val="18"/>
                            <w:shd w:val="clear" w:color="auto" w:fill="FFFFFF"/>
                            <w:lang w:val="en-US"/>
                          </w:rPr>
                        </w:pPr>
                        <w:proofErr w:type="spellStart"/>
                        <w:r w:rsidRPr="00DE2F37">
                          <w:rPr>
                            <w:rFonts w:ascii="Arial" w:hAnsi="Arial" w:cs="Arial"/>
                            <w:color w:val="333333"/>
                            <w:sz w:val="18"/>
                            <w:szCs w:val="18"/>
                            <w:shd w:val="clear" w:color="auto" w:fill="FFFFFF"/>
                            <w:lang w:val="en-US"/>
                          </w:rPr>
                          <w:t>Anzahl</w:t>
                        </w:r>
                        <w:proofErr w:type="spellEnd"/>
                        <w:r w:rsidRPr="00DE2F37">
                          <w:rPr>
                            <w:rFonts w:ascii="Arial" w:hAnsi="Arial" w:cs="Arial"/>
                            <w:color w:val="333333"/>
                            <w:sz w:val="18"/>
                            <w:szCs w:val="18"/>
                            <w:shd w:val="clear" w:color="auto" w:fill="FFFFFF"/>
                            <w:lang w:val="en-US"/>
                          </w:rPr>
                          <w:t xml:space="preserve"> </w:t>
                        </w:r>
                        <w:proofErr w:type="spellStart"/>
                        <w:r w:rsidRPr="00DE2F37">
                          <w:rPr>
                            <w:rFonts w:ascii="Arial" w:hAnsi="Arial" w:cs="Arial"/>
                            <w:color w:val="333333"/>
                            <w:sz w:val="18"/>
                            <w:szCs w:val="18"/>
                            <w:shd w:val="clear" w:color="auto" w:fill="FFFFFF"/>
                            <w:lang w:val="en-US"/>
                          </w:rPr>
                          <w:t>Schlüssel</w:t>
                        </w:r>
                        <w:proofErr w:type="spellEnd"/>
                        <w:r w:rsidRPr="00DE2F37">
                          <w:rPr>
                            <w:rFonts w:ascii="Arial" w:hAnsi="Arial" w:cs="Arial"/>
                            <w:color w:val="333333"/>
                            <w:sz w:val="18"/>
                            <w:szCs w:val="18"/>
                            <w:shd w:val="clear" w:color="auto" w:fill="FFFFFF"/>
                            <w:lang w:val="en-US"/>
                          </w:rPr>
                          <w:t>:</w:t>
                        </w:r>
                        <w:r w:rsidRPr="00DE2F37">
                          <w:rPr>
                            <w:rFonts w:ascii="Arial" w:hAnsi="Arial" w:cs="Arial"/>
                            <w:b/>
                            <w:bCs/>
                            <w:color w:val="333333"/>
                            <w:sz w:val="18"/>
                            <w:szCs w:val="18"/>
                            <w:shd w:val="clear" w:color="auto" w:fill="FFFFFF"/>
                            <w:lang w:val="en-US"/>
                          </w:rPr>
                          <w:t xml:space="preserve"> </w:t>
                        </w:r>
                        <w:r>
                          <w:rPr>
                            <w:rFonts w:ascii="Arial" w:hAnsi="Arial" w:cs="Arial"/>
                            <w:b/>
                            <w:bCs/>
                            <w:color w:val="333333"/>
                            <w:sz w:val="18"/>
                            <w:szCs w:val="18"/>
                            <w:shd w:val="clear" w:color="auto" w:fill="FFFFFF"/>
                            <w:lang w:val="en-US"/>
                          </w:rPr>
                          <w:t xml:space="preserve">3 Stück</w:t>
                        </w:r>
                        <w:r w:rsidRPr="00DE2F37">
                          <w:rPr>
                            <w:rFonts w:ascii="Arial" w:hAnsi="Arial" w:cs="Arial"/>
                            <w:color w:val="333333"/>
                            <w:sz w:val="18"/>
                            <w:szCs w:val="18"/>
                            <w:shd w:val="clear" w:color="auto" w:fill="FFFFFF"/>
                            <w:lang w:val="en-US"/>
                          </w:rPr>
                          <w:t xml:space="preserve"> </w:t>
                        </w:r>
                      </w:p>
                    </w:tc>
                  </w:tr>
                  <w:tr w:rsidRPr="00DE2F37" w:rsidR="00257CF2" w:rsidTr="0019155F" w14:paraId="025984FF" w14:textId="77777777">
                    <w:trPr>
                      <w:cantSplit/>
                    </w:trPr>
                    <w:tc>
                      <w:tcPr>
                        <w:tcW w:w="8634" w:type="dxa"/>
                        <w:gridSpan w:val="7"/>
                      </w:tcPr>
                      <w:p w:rsidRPr="00DE2F37" w:rsidR="00257CF2" w:rsidP="00E94428" w:rsidRDefault="00257CF2" w14:paraId="76CF1B5C" w14:textId="1FA5C92F">
                        <w:pPr>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Depot Fr. </w:t>
                        </w:r>
                        <w:r w:rsidRPr="00DE2F37">
                          <w:rPr>
                            <w:rFonts w:ascii="Arial" w:hAnsi="Arial" w:cs="Arial"/>
                            <w:b/>
                            <w:bCs/>
                            <w:color w:val="333333"/>
                            <w:sz w:val="18"/>
                            <w:szCs w:val="18"/>
                            <w:shd w:val="clear" w:color="auto" w:fill="FFFFFF"/>
                          </w:rPr>
                          <w:t xml:space="preserve"/>
                        </w:r>
                        <w:r>
                          <w:rPr>
                            <w:rFonts w:ascii="Arial" w:hAnsi="Arial" w:cs="Arial"/>
                            <w:b/>
                            <w:bCs/>
                            <w:color w:val="333333"/>
                            <w:sz w:val="18"/>
                            <w:szCs w:val="18"/>
                            <w:shd w:val="clear" w:color="auto" w:fill="FFFFFF"/>
                          </w:rPr>
                          <w:t xml:space="preserve">700.00</w:t>
                        </w:r>
                        <w:proofErr w:type="spellStart"/>
                        <w:proofErr w:type="spellEnd"/>
                        <w:r w:rsidRPr="00DE2F37">
                          <w:rPr>
                            <w:rFonts w:ascii="Arial" w:hAnsi="Arial" w:cs="Arial"/>
                            <w:b/>
                            <w:bCs/>
                            <w:color w:val="333333"/>
                            <w:sz w:val="18"/>
                            <w:szCs w:val="18"/>
                            <w:shd w:val="clear" w:color="auto" w:fill="FFFFFF"/>
                          </w:rPr>
                          <w:t xml:space="preserve"/>
                        </w:r>
                        <w:r w:rsidRPr="00DE2F37">
                          <w:rPr>
                            <w:rFonts w:ascii="Arial" w:hAnsi="Arial" w:cs="Arial"/>
                            <w:color w:val="333333"/>
                            <w:sz w:val="18"/>
                            <w:szCs w:val="18"/>
                            <w:shd w:val="clear" w:color="auto" w:fill="FFFFFF"/>
                          </w:rPr>
                          <w:t xml:space="preserve"> (zahlbar bei Vertragsunterzeichnung auf </w:t>
                        </w:r>
                        <w:r w:rsidRPr="00DE2F37" w:rsidR="002926E6">
                          <w:rPr>
                            <w:rFonts w:ascii="Arial" w:hAnsi="Arial" w:cs="Arial"/>
                            <w:color w:val="333333"/>
                            <w:sz w:val="18"/>
                            <w:szCs w:val="18"/>
                            <w:shd w:val="clear" w:color="auto" w:fill="FFFFFF"/>
                          </w:rPr>
                          <w:t xml:space="preserve">das Konto </w:t>
                        </w:r>
                        <w:r w:rsidRPr="00DE2F37" w:rsidR="002926E6">
                          <w:rPr>
                            <w:rFonts w:ascii="Arial" w:hAnsi="Arial" w:cs="Arial"/>
                            <w:bCs/>
                            <w:color w:val="333333"/>
                            <w:sz w:val="18"/>
                            <w:szCs w:val="18"/>
                          </w:rPr>
                          <w:t>262-137375.02B</w:t>
                        </w:r>
                        <w:r w:rsidRPr="00DE2F37" w:rsidR="002926E6">
                          <w:rPr>
                            <w:rFonts w:ascii="Arial" w:hAnsi="Arial" w:cs="Arial"/>
                            <w:color w:val="333333"/>
                            <w:sz w:val="18"/>
                            <w:szCs w:val="18"/>
                            <w:shd w:val="clear" w:color="auto" w:fill="FFFFFF"/>
                          </w:rPr>
                          <w:t xml:space="preserve"> siehe Punkt 14</w:t>
                        </w:r>
                        <w:r w:rsidRPr="00DE2F37">
                          <w:rPr>
                            <w:rFonts w:ascii="Arial" w:hAnsi="Arial" w:cs="Arial"/>
                            <w:color w:val="333333"/>
                            <w:sz w:val="18"/>
                            <w:szCs w:val="18"/>
                            <w:shd w:val="clear" w:color="auto" w:fill="FFFFFF"/>
                          </w:rPr>
                          <w:t xml:space="preserve"> Bankverbindung).</w:t>
                        </w:r>
                      </w:p>
                    </w:tc>
                  </w:tr>
                  <w:tr w:rsidRPr="00DE2F37" w:rsidR="00257CF2" w:rsidTr="0019155F" w14:paraId="772E0304" w14:textId="77777777">
                    <w:trPr>
                      <w:cantSplit/>
                    </w:trPr>
                    <w:tc>
                      <w:tcPr>
                        <w:tcW w:w="8634" w:type="dxa"/>
                        <w:gridSpan w:val="7"/>
                      </w:tcPr>
                      <w:p w:rsidRPr="00DE2F37" w:rsidR="00257CF2" w:rsidP="001D15C0" w:rsidRDefault="00257CF2" w14:paraId="3F4FE5C1" w14:textId="77777777">
                        <w:pPr>
                          <w:jc w:val="both"/>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Der Mietzins ist zum Voraus </w:t>
                        </w:r>
                        <w:sdt>
                          <w:sdtPr>
                            <w:rPr>
                              <w:rFonts w:ascii="Arial" w:hAnsi="Arial" w:cs="Arial"/>
                              <w:b/>
                              <w:color w:val="333333"/>
                              <w:sz w:val="18"/>
                              <w:szCs w:val="18"/>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DE2F37">
                              <w:rPr>
                                <w:rFonts w:ascii="Arial" w:hAnsi="Arial" w:cs="Arial"/>
                                <w:b/>
                                <w:color w:val="333333"/>
                                <w:sz w:val="18"/>
                                <w:szCs w:val="18"/>
                                <w:shd w:val="clear" w:color="auto" w:fill="FFFFFF"/>
                              </w:rPr>
                              <w:t>monatlich</w:t>
                            </w:r>
                          </w:sdtContent>
                        </w:sdt>
                        <w:r w:rsidRPr="00DE2F37">
                          <w:rPr>
                            <w:rFonts w:ascii="Arial" w:hAnsi="Arial" w:cs="Arial"/>
                            <w:color w:val="333333"/>
                            <w:sz w:val="18"/>
                            <w:szCs w:val="18"/>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DE2F37" w:rsidR="00257CF2" w:rsidP="00E94428" w:rsidRDefault="00257CF2" w14:paraId="3B36A27F" w14:textId="77777777">
                  <w:pPr>
                    <w:rPr>
                      <w:sz w:val="18"/>
                      <w:szCs w:val="18"/>
                    </w:rPr>
                  </w:pPr>
                  <w:r w:rsidRPr="00DE2F37">
                    <w:rPr>
                      <w:sz w:val="18"/>
                      <w:szCs w:val="18"/>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093DB9"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357.25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093DB9"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einstellbox.ch ag</w:t>
            </w:r>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einstellbox.ch ag</w:t>
            </w:r>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r>
              <w:rPr>
                <w:rFonts w:ascii="Arial" w:hAnsi="Arial" w:cs="Arial"/>
                <w:sz w:val="19"/>
                <w:szCs w:val="19"/>
              </w:rPr>
              <w:t xml:space="preserve">Recherswil, </w:t>
            </w:r>
            <w:r>
              <w:rPr>
                <w:rFonts w:ascii="Arial" w:hAnsi="Arial" w:cs="Arial"/>
                <w:sz w:val="19"/>
                <w:szCs w:val="19"/>
              </w:rPr>
              <w:t xml:space="preserve">12.04.2025</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093DB9"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093DB9"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ag</w:t>
          </w:r>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093DB9"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093DB9"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