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1.2.5 The Gradient</w:t>
      </w:r>
    </w:p>
    <w:p>
      <w:r>
        <w:t xml:space="preserve">This tells us how </w:t>
      </w:r>
      <m:oMath>
        <m:r>
          <m:t xml:space="preserve">T</m:t>
        </m:r>
      </m:oMath>
      <w:r>
        <w:t xml:space="preserve"> changes when we alter all three variables by the infinitesimal amounts </w:t>
      </w:r>
      <m:oMath>
        <m:r>
          <m:t xml:space="preserve">dx</m:t>
        </m:r>
      </m:oMath>
      <w:r>
        <w:t xml:space="preserve">, </w:t>
      </w:r>
      <m:oMath>
        <m:r>
          <m:t xml:space="preserve">dy</m:t>
        </m:r>
      </m:oMath>
      <w:r>
        <w:t xml:space="preserve">, </w:t>
      </w:r>
      <m:oMath>
        <m:r>
          <m:t xml:space="preserve">dz</m:t>
        </m:r>
      </m:oMath>
      <w:r>
        <w:t>.</w:t>
      </w:r>
    </w:p>
    <w:p>
      <w:r>
        <w:t>Equation 1.34 is reminiscent of a dot product:</w:t>
      </w:r>
    </w:p>
    <w:p>
      <m:oMathPara>
        <m:oMath>
          <m:r>
            <m:t xml:space="preserve">dT</m:t>
          </m:r>
          <m:r>
            <m:t xml:space="preserve"> = </m:t>
          </m:r>
          <m:d>
            <m:dPr>
              <m:begChr m:val="("/>
              <m:endChr m:val=")"/>
            </m:dPr>
            <m:e>
              <m:f>
                <m:fPr/>
                <m:num>
                  <m:r>
                    <m:t xml:space="preserve">∂T</m:t>
                  </m:r>
                </m:num>
                <m:den>
                  <m:r>
                    <m:t xml:space="preserve">∂x</m:t>
                  </m:r>
                </m:den>
              </m:f>
              <m:acc>
                <m:accPr>
                  <m:chr m:val="̂"/>
                </m:accPr>
                <m:e>
                  <m:r>
                    <m:t xml:space="preserve">x</m:t>
                  </m:r>
                </m:e>
              </m:acc>
              <m:r>
                <m:t xml:space="preserve"> + </m:t>
              </m:r>
              <m:f>
                <m:fPr/>
                <m:num>
                  <m:r>
                    <m:t xml:space="preserve">∂T</m:t>
                  </m:r>
                </m:num>
                <m:den>
                  <m:r>
                    <m:t xml:space="preserve">∂y</m:t>
                  </m:r>
                </m:den>
              </m:f>
              <m:acc>
                <m:accPr>
                  <m:chr m:val="̂"/>
                </m:accPr>
                <m:e>
                  <m:r>
                    <m:t xml:space="preserve">y</m:t>
                  </m:r>
                </m:e>
              </m:acc>
              <m:r>
                <m:t xml:space="preserve"> + </m:t>
              </m:r>
              <m:f>
                <m:fPr/>
                <m:num>
                  <m:r>
                    <m:t xml:space="preserve">∂T</m:t>
                  </m:r>
                </m:num>
                <m:den>
                  <m:r>
                    <m:t xml:space="preserve">∂z</m:t>
                  </m:r>
                </m:den>
              </m:f>
              <m:acc>
                <m:accPr>
                  <m:chr m:val="̂"/>
                </m:accPr>
                <m:e>
                  <m:r>
                    <m:t xml:space="preserve">z</m:t>
                  </m:r>
                </m:e>
              </m:acc>
            </m:e>
          </m:d>
          <m:r>
            <m:t xml:space="preserve"> · </m:t>
          </m:r>
          <m:d>
            <m:dPr>
              <m:begChr m:val="("/>
              <m:endChr m:val=")"/>
            </m:dPr>
            <m:e>
              <m:r>
                <m:t xml:space="preserve">dx </m:t>
              </m:r>
              <m:acc>
                <m:accPr>
                  <m:chr m:val="̂"/>
                </m:accPr>
                <m:e>
                  <m:r>
                    <m:t xml:space="preserve">x</m:t>
                  </m:r>
                </m:e>
              </m:acc>
              <m:r>
                <m:t xml:space="preserve"> + dy </m:t>
              </m:r>
              <m:acc>
                <m:accPr>
                  <m:chr m:val="̂"/>
                </m:accPr>
                <m:e>
                  <m:r>
                    <m:t xml:space="preserve">y</m:t>
                  </m:r>
                </m:e>
              </m:acc>
              <m:r>
                <m:t xml:space="preserve"> + dz </m:t>
              </m:r>
              <m:acc>
                <m:accPr>
                  <m:chr m:val="̂"/>
                </m:accPr>
                <m:e>
                  <m:r>
                    <m:t xml:space="preserve">z</m:t>
                  </m:r>
                </m:e>
              </m:acc>
            </m:e>
          </m:d>
        </m:oMath>
      </m:oMathPara>
    </w:p>
    <w:p>
      <w:r>
        <w:t>where</w:t>
      </w:r>
    </w:p>
    <w:p>
      <m:oMathPara>
        <m:oMath>
          <m:r>
            <m:t xml:space="preserve">∇T ≡ </m:t>
          </m:r>
          <m:f>
            <m:fPr/>
            <m:num>
              <m:r>
                <m:t xml:space="preserve">∂T</m:t>
              </m:r>
            </m:num>
            <m:den>
              <m:r>
                <m:t xml:space="preserve">∂x</m:t>
              </m:r>
            </m:den>
          </m:f>
          <m:acc>
            <m:accPr>
              <m:chr m:val="̂"/>
            </m:accPr>
            <m:e>
              <m:r>
                <m:t xml:space="preserve">x</m:t>
              </m:r>
            </m:e>
          </m:acc>
          <m:r>
            <m:t xml:space="preserve"> + </m:t>
          </m:r>
          <m:f>
            <m:fPr/>
            <m:num>
              <m:r>
                <m:t xml:space="preserve">∂T</m:t>
              </m:r>
            </m:num>
            <m:den>
              <m:r>
                <m:t xml:space="preserve">∂y</m:t>
              </m:r>
            </m:den>
          </m:f>
          <m:acc>
            <m:accPr>
              <m:chr m:val="̂"/>
            </m:accPr>
            <m:e>
              <m:r>
                <m:t xml:space="preserve">y</m:t>
              </m:r>
            </m:e>
          </m:acc>
          <m:r>
            <m:t xml:space="preserve"> + </m:t>
          </m:r>
          <m:f>
            <m:fPr/>
            <m:num>
              <m:r>
                <m:t xml:space="preserve">∂T</m:t>
              </m:r>
            </m:num>
            <m:den>
              <m:r>
                <m:t xml:space="preserve">∂z</m:t>
              </m:r>
            </m:den>
          </m:f>
          <m:acc>
            <m:accPr>
              <m:chr m:val="̂"/>
            </m:accPr>
            <m:e>
              <m:r>
                <m:t xml:space="preserve">z</m:t>
              </m:r>
            </m:e>
          </m:acc>
        </m:oMath>
      </m:oMathPara>
    </w:p>
    <w:p>
      <w:r>
        <w:t xml:space="preserve">is the </w:t>
      </w:r>
      <w:r>
        <w:t>gradient</w:t>
      </w:r>
      <w:r>
        <w:t xml:space="preserve"> of </w:t>
      </w:r>
      <m:oMath>
        <m:r>
          <m:t xml:space="preserve">T</m:t>
        </m:r>
      </m:oMath>
      <w:r>
        <w:t xml:space="preserve">. </w:t>
      </w:r>
      <m:oMath>
        <m:r>
          <m:t xml:space="preserve">∇T</m:t>
        </m:r>
      </m:oMath>
      <w:r>
        <w:t xml:space="preserve"> is a vector quantity, with three components; it is the generalized derivative we have been looking for.</w:t>
      </w:r>
    </w:p>
    <w:p>
      <w:r>
        <w:rPr>
          <w:b/>
        </w:rPr>
        <w:t xml:space="preserve">Geometrical Interpretation of the Gradient: </w:t>
      </w:r>
      <w:r>
        <w:t>Like any vector, the gradient has magnitude and direction. To determine its geometrical meaning, let’s rewrite the dot product (1.35) in abstract form:</w:t>
      </w:r>
    </w:p>
    <w:p>
      <m:oMathPara>
        <m:oMath>
          <m:r>
            <m:t xml:space="preserve">dT = ∇T · dl = </m:t>
          </m:r>
          <m:d>
            <m:dPr>
              <m:begChr m:val="|"/>
              <m:endChr m:val="|"/>
            </m:dPr>
            <m:e>
              <m:r>
                <m:t xml:space="preserve">∇T</m:t>
              </m:r>
            </m:e>
          </m:d>
          <m:d>
            <m:dPr>
              <m:begChr m:val="|"/>
              <m:endChr m:val="|"/>
            </m:dPr>
            <m:e>
              <m:r>
                <m:t xml:space="preserve">dl</m:t>
              </m:r>
            </m:e>
          </m:d>
          <m:r>
            <m:t xml:space="preserve"> cos θ</m:t>
          </m:r>
        </m:oMath>
      </m:oMathPara>
    </w:p>
    <w:p>
      <w:r>
        <w:t xml:space="preserve">where </w:t>
      </w:r>
      <m:oMath>
        <m:r>
          <m:t xml:space="preserve">θ</m:t>
        </m:r>
      </m:oMath>
      <w:r>
        <w:t xml:space="preserve"> is the angle between </w:t>
      </w:r>
      <m:oMath>
        <m:r>
          <m:t xml:space="preserve">∇T</m:t>
        </m:r>
      </m:oMath>
      <w:r>
        <w:t xml:space="preserve"> and </w:t>
      </w:r>
      <m:oMath>
        <m:r>
          <m:t xml:space="preserve">dl</m:t>
        </m:r>
      </m:oMath>
      <w:r>
        <w:t xml:space="preserve">. Now, if we fix the magnitude </w:t>
      </w:r>
      <m:oMath>
        <m:d>
          <m:dPr>
            <m:begChr m:val="|"/>
            <m:endChr m:val="|"/>
          </m:dPr>
          <m:e>
            <m:r>
              <m:t xml:space="preserve">dl</m:t>
            </m:r>
          </m:e>
        </m:d>
      </m:oMath>
      <w:r>
        <w:t xml:space="preserve"> and search around in various directions, the maximum change in </w:t>
      </w:r>
      <m:oMath>
        <m:r>
          <m:t xml:space="preserve">T</m:t>
        </m:r>
      </m:oMath>
      <w:r>
        <w:t xml:space="preserve"> evidently occurs when </w:t>
      </w:r>
      <m:oMath>
        <m:r>
          <m:t xml:space="preserve">θ = 0</m:t>
        </m:r>
      </m:oMath>
      <w:r>
        <w:t xml:space="preserve"> (for then cos θ = 1). That is, for a fixed distance </w:t>
      </w:r>
      <m:oMath>
        <m:d>
          <m:dPr>
            <m:begChr m:val="|"/>
            <m:endChr m:val="|"/>
          </m:dPr>
          <m:e>
            <m:r>
              <m:t xml:space="preserve">dl</m:t>
            </m:r>
          </m:e>
        </m:d>
      </m:oMath>
      <w:r>
        <w:t xml:space="preserve">, </w:t>
      </w:r>
      <m:oMath>
        <m:r>
          <m:t xml:space="preserve">dT</m:t>
        </m:r>
      </m:oMath>
      <w:r>
        <w:t xml:space="preserve"> is greatest when I move in the same direction as </w:t>
      </w:r>
      <m:oMath>
        <m:r>
          <m:t xml:space="preserve">∇T</m:t>
        </m:r>
      </m:oMath>
      <w:r>
        <w:t>.</w:t>
      </w:r>
    </w:p>
    <w:p>
      <w:pPr>
        <w:pStyle w:val="Heading2"/>
      </w:pPr>
      <w:r>
        <w:t>Additional Test: Complex Equations</w:t>
      </w:r>
    </w:p>
    <w:p>
      <w:r>
        <w:t>Transfer function with subscripts and superscripts:</w:t>
      </w:r>
    </w:p>
    <w:p>
      <m:oMathPara>
        <m:oMath>
          <m:r>
            <m:t xml:space="preserve">H</m:t>
          </m:r>
          <m:d>
            <m:dPr>
              <m:begChr m:val="("/>
              <m:endChr m:val=")"/>
            </m:dPr>
            <m:e>
              <m:r>
                <m:t xml:space="preserve">s</m:t>
              </m:r>
            </m:e>
          </m:d>
          <m:r>
            <m:t xml:space="preserve"> = </m:t>
          </m:r>
          <m:nary>
            <m:naryPr>
              <m:chr m:val="∑"/>
            </m:naryPr>
            <m:sub>
              <m:r>
                <m:t xml:space="preserve">k=1</m:t>
              </m:r>
            </m:sub>
            <m:sup>
              <m:r>
                <m:t xml:space="preserve">N</m:t>
              </m:r>
            </m:sup>
            <m:e>
              <m:f>
                <m:fPr/>
                <m:num>
                  <m:sSub>
                    <m:e>
                      <m:r>
                        <m:t xml:space="preserve">γ</m:t>
                      </m:r>
                    </m:e>
                    <m:sub>
                      <m:r>
                        <m:t xml:space="preserve">k</m:t>
                      </m:r>
                    </m:sub>
                  </m:sSub>
                </m:num>
                <m:den>
                  <m:r>
                    <m:t xml:space="preserve">s − </m:t>
                  </m:r>
                  <m:sSub>
                    <m:e>
                      <m:r>
                        <m:t xml:space="preserve">λ</m:t>
                      </m:r>
                    </m:e>
                    <m:sub>
                      <m:r>
                        <m:t xml:space="preserve">k</m:t>
                      </m:r>
                    </m:sub>
                  </m:sSub>
                </m:den>
              </m:f>
            </m:e>
          </m:nary>
        </m:oMath>
      </m:oMathPara>
    </w:p>
    <w:p>
      <w:r>
        <w:t xml:space="preserve">The impedance function </w:t>
      </w:r>
      <m:oMath>
        <m:sSub>
          <m:e>
            <m:r>
              <m:t xml:space="preserve">K</m:t>
            </m:r>
          </m:e>
          <m:sub>
            <m:r>
              <m:t xml:space="preserve">RL</m:t>
            </m:r>
          </m:sub>
        </m:sSub>
        <m:d>
          <m:dPr>
            <m:begChr m:val="("/>
            <m:endChr m:val=")"/>
          </m:dPr>
          <m:e>
            <m:r>
              <m:t xml:space="preserve">s, τ</m:t>
            </m:r>
          </m:e>
        </m:d>
      </m:oMath>
      <w:r>
        <w:t xml:space="preserve"> is defined as:</w:t>
      </w:r>
    </w:p>
    <w:p>
      <m:oMathPara>
        <m:oMath>
          <m:sSub>
            <m:e>
              <m:r>
                <m:t xml:space="preserve">K</m:t>
              </m:r>
            </m:e>
            <m:sub>
              <m:r>
                <m:t xml:space="preserve">RL</m:t>
              </m:r>
            </m:sub>
          </m:sSub>
          <m:d>
            <m:dPr>
              <m:begChr m:val="("/>
              <m:endChr m:val=")"/>
            </m:dPr>
            <m:e>
              <m:r>
                <m:t xml:space="preserve">s, τ</m:t>
              </m:r>
            </m:e>
          </m:d>
          <m:r>
            <m:t xml:space="preserve"> = </m:t>
          </m:r>
          <m:f>
            <m:fPr/>
            <m:num>
              <m:r>
                <m:t xml:space="preserve">sτ</m:t>
              </m:r>
            </m:num>
            <m:den>
              <m:r>
                <m:t xml:space="preserve">1 + sτ</m:t>
              </m:r>
            </m:den>
          </m:f>
          <m:r>
            <m:t xml:space="preserve"> = 1 − </m:t>
          </m:r>
          <m:f>
            <m:fPr/>
            <m:num>
              <m:r>
                <m:t xml:space="preserve">1</m:t>
              </m:r>
            </m:num>
            <m:den>
              <m:r>
                <m:t xml:space="preserve">1 + sτ</m:t>
              </m:r>
            </m:den>
          </m:f>
          <m:r>
            <m:t xml:space="preserve"> = 1 − </m:t>
          </m:r>
          <m:sSub>
            <m:e>
              <m:r>
                <m:t xml:space="preserve">K</m:t>
              </m:r>
            </m:e>
            <m:sub>
              <m:r>
                <m:t xml:space="preserve">RC</m:t>
              </m:r>
            </m:sub>
          </m:sSub>
          <m:d>
            <m:dPr>
              <m:begChr m:val="("/>
              <m:endChr m:val=")"/>
            </m:dPr>
            <m:e>
              <m:r>
                <m:t xml:space="preserve">s, τ</m:t>
              </m:r>
            </m:e>
          </m:d>
        </m:oMath>
      </m:oMathPara>
    </w:p>
    <w:p>
      <w:r>
        <w:t>The DRT representation uses an integral form:</w:t>
      </w:r>
    </w:p>
    <w:p>
      <m:oMathPara>
        <m:oMath>
          <m:r>
            <m:t xml:space="preserve">Z</m:t>
          </m:r>
          <m:d>
            <m:dPr>
              <m:begChr m:val="("/>
              <m:endChr m:val=")"/>
            </m:dPr>
            <m:e>
              <m:r>
                <m:t xml:space="preserve">ω</m:t>
              </m:r>
            </m:e>
          </m:d>
          <m:r>
            <m:t xml:space="preserve"> = </m:t>
          </m:r>
          <m:sSub>
            <m:e>
              <m:r>
                <m:t xml:space="preserve">R</m:t>
              </m:r>
            </m:e>
            <m:sub>
              <m:r>
                <m:t xml:space="preserve">s</m:t>
              </m:r>
            </m:sub>
          </m:sSub>
          <m:r>
            <m:t xml:space="preserve"> + </m:t>
          </m:r>
          <m:sSub>
            <m:e>
              <m:r>
                <m:t xml:space="preserve">R</m:t>
              </m:r>
            </m:e>
            <m:sub>
              <m:r>
                <m:t xml:space="preserve">pol</m:t>
              </m:r>
            </m:sub>
          </m:sSub>
          <m:nary>
            <m:naryPr>
              <m:chr m:val="∫"/>
            </m:naryPr>
            <m:sub>
              <m:r>
                <m:t xml:space="preserve">0</m:t>
              </m:r>
            </m:sub>
            <m:sup>
              <m:r>
                <m:t xml:space="preserve">∞</m:t>
              </m:r>
            </m:sup>
            <m:e>
              <m:f>
                <m:fPr/>
                <m:num>
                  <m:r>
                    <m:t xml:space="preserve">γ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m:t xml:space="preserve">τ</m:t>
                      </m:r>
                    </m:e>
                  </m:d>
                </m:num>
                <m:den>
                  <m:r>
                    <m:t xml:space="preserve">1 + jωτ</m:t>
                  </m:r>
                </m:den>
              </m:f>
              <m:r>
                <m:t xml:space="preserve"> d</m:t>
              </m:r>
              <m:d>
                <m:dPr>
                  <m:begChr m:val="("/>
                  <m:endChr m:val=")"/>
                </m:dPr>
                <m:e>
                  <m:r>
                    <m:t xml:space="preserve">ln τ</m:t>
                  </m:r>
                </m:e>
              </m:d>
            </m:e>
          </m:nary>
        </m:oMath>
      </m:oMathPara>
    </w:p>
    <w:p>
      <w:r>
        <w:t>The Loewner matrix is constructed as:</w:t>
      </w:r>
    </w:p>
    <w:p>
      <m:oMathPara>
        <m:oMath>
          <m:sSub>
            <m:e>
              <m:r>
                <m:t xml:space="preserve">L</m:t>
              </m:r>
            </m:e>
            <m:sub>
              <m:r>
                <m:t xml:space="preserve">ij</m:t>
              </m:r>
            </m:sub>
          </m:sSub>
          <m:r>
            <m:t xml:space="preserve"> = </m:t>
          </m:r>
          <m:f>
            <m:fPr/>
            <m:num>
              <m:sSub>
                <m:e>
                  <m:r>
                    <m:t xml:space="preserve">v</m:t>
                  </m:r>
                </m:e>
                <m:sub>
                  <m:r>
                    <m:t xml:space="preserve">i</m:t>
                  </m:r>
                </m:sub>
              </m:sSub>
              <m:r>
                <m:t xml:space="preserve"> − </m:t>
              </m:r>
              <m:sSub>
                <m:e>
                  <m:r>
                    <m:t xml:space="preserve">w</m:t>
                  </m:r>
                </m:e>
                <m:sub>
                  <m:r>
                    <m:t xml:space="preserve">j</m:t>
                  </m:r>
                </m:sub>
              </m:sSub>
            </m:num>
            <m:den>
              <m:sSub>
                <m:e>
                  <m:r>
                    <m:t xml:space="preserve">μ</m:t>
                  </m:r>
                </m:e>
                <m:sub>
                  <m:r>
                    <m:t xml:space="preserve">i</m:t>
                  </m:r>
                </m:sub>
              </m:sSub>
              <m:r>
                <m:t xml:space="preserve"> − </m:t>
              </m:r>
              <m:sSub>
                <m:e>
                  <m:r>
                    <m:t xml:space="preserve">λ</m:t>
                  </m:r>
                </m:e>
                <m:sub>
                  <m:r>
                    <m:t xml:space="preserve">j</m:t>
                  </m:r>
                </m:sub>
              </m:sSub>
            </m:den>
          </m:f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