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document tests header and footer extraction.</w:t>
      </w:r>
    </w:p>
    <w:p>
      <w:r>
        <w:t>The first page has a different header than subsequent pages.</w:t>
      </w:r>
    </w:p>
    <w:p>
      <w:pPr>
        <w:pStyle w:val="Heading2"/>
      </w:pPr>
      <w:r>
        <w:t>Analysis</w:t>
      </w:r>
    </w:p>
    <w:p>
      <w:r>
        <w:t>Detailed analysis of the quarterly results follows below.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FieldCure Inc. - Page 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 - Not for distribution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Quarterly Report 2026 |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COVER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Header Footer Test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