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120"/>
        <w:jc w:val="center"/>
      </w:pPr>
      <w:r>
        <w:rPr>
          <w:rFonts w:ascii="Georgia" w:cs="Georgia" w:eastAsia="Georgia" w:hAnsi="Georgia"/>
          <w:b/>
          <w:bCs/>
          <w:color w:val="1B2A4A"/>
          <w:sz w:val="42"/>
          <w:szCs w:val="42"/>
        </w:rPr>
        <w:t xml:space="preserve">The Constitutive Law of Gravity Field Dynamics</w:t>
      </w:r>
    </w:p>
    <w:p>
      <w:pPr>
        <w:spacing w:before="80" w:after="60"/>
        <w:jc w:val="center"/>
      </w:pPr>
      <w:r>
        <w:rPr>
          <w:rFonts w:ascii="Georgia" w:cs="Georgia" w:eastAsia="Georgia" w:hAnsi="Georgia"/>
          <w:i/>
          <w:iCs/>
          <w:color w:val="2E5090"/>
          <w:sz w:val="24"/>
          <w:szCs w:val="24"/>
        </w:rPr>
        <w:t xml:space="preserve">Topological Origin, Poisson Duality, and the Reason MOND Works</w:t>
      </w:r>
    </w:p>
    <w:p>
      <w:pPr>
        <w:spacing w:before="60" w:after="0"/>
        <w:jc w:val="center"/>
      </w:pPr>
      <w:r>
        <w:rPr>
          <w:rFonts w:ascii="Cambria Math" w:cs="Cambria Math" w:eastAsia="Cambria Math" w:hAnsi="Cambria Math"/>
          <w:color w:val="2E5090"/>
          <w:sz w:val="28"/>
          <w:szCs w:val="28"/>
        </w:rPr>
        <w:t xml:space="preserve">μ(x) = x/(x+1)</w:t>
      </w:r>
    </w:p>
    <w:p>
      <w:pPr>
        <w:spacing w:before="400" w:after="0"/>
      </w:pPr>
    </w:p>
    <w:p>
      <w:pPr>
        <w:spacing w:before="60" w:after="60"/>
        <w:jc w:val="center"/>
      </w:pPr>
      <w:r>
        <w:rPr>
          <w:rFonts w:ascii="Georgia" w:cs="Georgia" w:eastAsia="Georgia" w:hAnsi="Georgia"/>
          <w:b/>
          <w:bCs/>
          <w:color w:val="1B2A4A"/>
          <w:sz w:val="24"/>
          <w:szCs w:val="24"/>
        </w:rPr>
        <w:t xml:space="preserve">Stephen Nelson</w:t>
      </w:r>
    </w:p>
    <w:p>
      <w:pPr>
        <w:spacing w:before="60" w:after="60"/>
        <w:jc w:val="center"/>
      </w:pPr>
      <w:r>
        <w:rPr>
          <w:rFonts w:ascii="Georgia" w:cs="Georgia" w:eastAsia="Georgia" w:hAnsi="Georgia"/>
          <w:i/>
          <w:iCs/>
          <w:color w:val="555555"/>
          <w:sz w:val="22"/>
          <w:szCs w:val="22"/>
        </w:rPr>
        <w:t xml:space="preserve">Field Dynamics Research</w:t>
      </w:r>
    </w:p>
    <w:p>
      <w:pPr>
        <w:spacing w:before="0" w:after="200"/>
        <w:jc w:val="center"/>
      </w:pPr>
      <w:r>
        <w:rPr>
          <w:rFonts w:ascii="Georgia" w:cs="Georgia" w:eastAsia="Georgia" w:hAnsi="Georgia"/>
          <w:color w:val="555555"/>
          <w:sz w:val="22"/>
          <w:szCs w:val="22"/>
        </w:rPr>
        <w:t xml:space="preserve">March 2026</w:t>
      </w:r>
    </w:p>
    <w:p>
      <w:pPr>
        <w:pBdr>
          <w:bottom w:val="single" w:color="C0C0C0" w:sz="1" w:space="8"/>
        </w:pBdr>
        <w:spacing w:before="200" w:after="200"/>
      </w:pPr>
    </w:p>
    <w:p>
      <w:pPr>
        <w:pStyle w:val="Heading2"/>
        <w:spacing w:before="280" w:after="100"/>
      </w:pPr>
      <w:r>
        <w:rPr>
          <w:rFonts w:ascii="Georgia" w:cs="Georgia" w:eastAsia="Georgia" w:hAnsi="Georgia"/>
          <w:b/>
          <w:bCs/>
          <w:color w:val="2E5090"/>
          <w:sz w:val="26"/>
          <w:szCs w:val="26"/>
        </w:rPr>
        <w:t xml:space="preserve">Abstract</w:t>
      </w:r>
    </w:p>
    <w:p>
      <w:pPr>
        <w:spacing w:before="60" w:after="60"/>
        <w:jc w:val="both"/>
      </w:pPr>
      <w:r>
        <w:rPr>
          <w:rFonts w:ascii="Georgia" w:cs="Georgia" w:eastAsia="Georgia" w:hAnsi="Georgia"/>
          <w:color w:val="333333"/>
          <w:sz w:val="22"/>
          <w:szCs w:val="22"/>
        </w:rPr>
        <w:t xml:space="preserve">Gravity Field Dynamics (GFD) derives the gravitational constitutive law </w:t>
      </w:r>
      <w:r>
        <w:rPr>
          <w:rFonts w:ascii="Cambria Math" w:cs="Cambria Math" w:eastAsia="Cambria Math" w:hAnsi="Cambria Math"/>
          <w:color w:val="222222"/>
          <w:sz w:val="22"/>
          <w:szCs w:val="22"/>
        </w:rPr>
        <w:t xml:space="preserve">μ(x) = x/(x+1)</w:t>
      </w:r>
      <w:r>
        <w:rPr>
          <w:rFonts w:ascii="Georgia" w:cs="Georgia" w:eastAsia="Georgia" w:hAnsi="Georgia"/>
          <w:color w:val="333333"/>
          <w:sz w:val="22"/>
          <w:szCs w:val="22"/>
        </w:rPr>
        <w:t xml:space="preserve"> from the topology of the stellated octahedron. This document presents a comprehensive identification of what μ(x) is, why it works, and how it relates to the Poisson equation. The central result is that the Poisson equation and the constitutive law are </w:t>
      </w:r>
      <w:r>
        <w:rPr>
          <w:rFonts w:ascii="Georgia" w:cs="Georgia" w:eastAsia="Georgia" w:hAnsi="Georgia"/>
          <w:i/>
          <w:iCs/>
          <w:color w:val="333333"/>
          <w:sz w:val="22"/>
          <w:szCs w:val="22"/>
        </w:rPr>
        <w:t xml:space="preserve">not two different things</w:t>
      </w:r>
      <w:r>
        <w:rPr>
          <w:rFonts w:ascii="Georgia" w:cs="Georgia" w:eastAsia="Georgia" w:hAnsi="Georgia"/>
          <w:color w:val="333333"/>
          <w:sz w:val="22"/>
          <w:szCs w:val="22"/>
        </w:rPr>
        <w:t xml:space="preserve">. They are two projections of the same coupling polynomial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The Poisson equation samples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 at two fixed structural states, producing </w:t>
      </w:r>
      <w:r>
        <w:rPr>
          <w:rFonts w:ascii="Cambria Math" w:cs="Cambria Math" w:eastAsia="Cambria Math" w:hAnsi="Cambria Math"/>
          <w:color w:val="222222"/>
          <w:sz w:val="22"/>
          <w:szCs w:val="22"/>
        </w:rPr>
        <w:t xml:space="preserve">∇²Φ = kπ · f(0)/f(−1) · G_{bare} · ρ</w:t>
      </w:r>
      <w:r>
        <w:rPr>
          <w:rFonts w:ascii="Georgia" w:cs="Georgia" w:eastAsia="Georgia" w:hAnsi="Georgia"/>
          <w:color w:val="333333"/>
          <w:sz w:val="22"/>
          <w:szCs w:val="22"/>
        </w:rPr>
        <w:t xml:space="preserve">. The constitutive law evaluates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 continuously across all acceleration states, producing </w:t>
      </w:r>
      <w:r>
        <w:rPr>
          <w:rFonts w:ascii="Cambria Math" w:cs="Cambria Math" w:eastAsia="Cambria Math" w:hAnsi="Cambria Math"/>
          <w:color w:val="222222"/>
          <w:sz w:val="22"/>
          <w:szCs w:val="22"/>
        </w:rPr>
        <w:t xml:space="preserve">∇·[μ∇Φ] = 4πGρ</w:t>
      </w:r>
      <w:r>
        <w:rPr>
          <w:rFonts w:ascii="Georgia" w:cs="Georgia" w:eastAsia="Georgia" w:hAnsi="Georgia"/>
          <w:color w:val="333333"/>
          <w:sz w:val="22"/>
          <w:szCs w:val="22"/>
        </w:rPr>
        <w:t xml:space="preserve">. The identification explains why Milgrom’s Modified Newtonian Dynamics works, why the “simple” interpolation function </w:t>
      </w:r>
      <w:r>
        <w:rPr>
          <w:rFonts w:ascii="Cambria Math" w:cs="Cambria Math" w:eastAsia="Cambria Math" w:hAnsi="Cambria Math"/>
          <w:color w:val="222222"/>
          <w:sz w:val="22"/>
          <w:szCs w:val="22"/>
        </w:rPr>
        <w:t xml:space="preserve">x/(x+1)</w:t>
      </w:r>
      <w:r>
        <w:rPr>
          <w:rFonts w:ascii="Georgia" w:cs="Georgia" w:eastAsia="Georgia" w:hAnsi="Georgia"/>
          <w:color w:val="333333"/>
          <w:sz w:val="22"/>
          <w:szCs w:val="22"/>
        </w:rPr>
        <w:t xml:space="preserve"> is uniquely selected from the topology, and why the gravitational field equation is scale-invariant from quantum to cosmic scales. Validated by a 50-test enterprise suite with zero free parameters.</w:t>
      </w:r>
    </w:p>
    <w:p>
      <w:pPr>
        <w:pBdr>
          <w:bottom w:val="single" w:color="C0C0C0" w:sz="1" w:space="8"/>
        </w:pBdr>
        <w:spacing w:before="200" w:after="200"/>
      </w:pPr>
    </w:p>
    <w:p>
      <w:r>
        <w:br w:type="page"/>
      </w:r>
    </w:p>
    <w:p>
      <w:pPr>
        <w:pStyle w:val="Heading1"/>
        <w:spacing w:before="400" w:after="140"/>
      </w:pPr>
      <w:r>
        <w:rPr>
          <w:rFonts w:ascii="Georgia" w:cs="Georgia" w:eastAsia="Georgia" w:hAnsi="Georgia"/>
          <w:b/>
          <w:bCs/>
          <w:color w:val="1B2A4A"/>
          <w:sz w:val="32"/>
          <w:szCs w:val="32"/>
        </w:rPr>
        <w:t xml:space="preserve">1.  Introduction</w:t>
      </w:r>
    </w:p>
    <w:p>
      <w:pPr>
        <w:spacing w:before="60" w:after="60"/>
        <w:jc w:val="both"/>
      </w:pPr>
      <w:r>
        <w:rPr>
          <w:rFonts w:ascii="Georgia" w:cs="Georgia" w:eastAsia="Georgia" w:hAnsi="Georgia"/>
          <w:color w:val="333333"/>
          <w:sz w:val="22"/>
          <w:szCs w:val="22"/>
        </w:rPr>
        <w:t xml:space="preserve">The equation </w:t>
      </w:r>
      <w:r>
        <w:rPr>
          <w:rFonts w:ascii="Cambria Math" w:cs="Cambria Math" w:eastAsia="Cambria Math" w:hAnsi="Cambria Math"/>
          <w:color w:val="222222"/>
          <w:sz w:val="22"/>
          <w:szCs w:val="22"/>
        </w:rPr>
        <w:t xml:space="preserve">2(d+1) = 2ᵈ</w:t>
      </w:r>
      <w:r>
        <w:rPr>
          <w:rFonts w:ascii="Georgia" w:cs="Georgia" w:eastAsia="Georgia" w:hAnsi="Georgia"/>
          <w:color w:val="333333"/>
          <w:sz w:val="22"/>
          <w:szCs w:val="22"/>
        </w:rPr>
        <w:t xml:space="preserve"> has a unique positive-integer solution: </w:t>
      </w:r>
      <w:r>
        <w:rPr>
          <w:rFonts w:ascii="Cambria Math" w:cs="Cambria Math" w:eastAsia="Cambria Math" w:hAnsi="Cambria Math"/>
          <w:color w:val="222222"/>
          <w:sz w:val="22"/>
          <w:szCs w:val="22"/>
        </w:rPr>
        <w:t xml:space="preserve">d = 3</w:t>
      </w:r>
      <w:r>
        <w:rPr>
          <w:rFonts w:ascii="Georgia" w:cs="Georgia" w:eastAsia="Georgia" w:hAnsi="Georgia"/>
          <w:color w:val="333333"/>
          <w:sz w:val="22"/>
          <w:szCs w:val="22"/>
        </w:rPr>
        <w:t xml:space="preserve">. This fixes </w:t>
      </w:r>
      <w:r>
        <w:rPr>
          <w:rFonts w:ascii="Cambria Math" w:cs="Cambria Math" w:eastAsia="Cambria Math" w:hAnsi="Cambria Math"/>
          <w:color w:val="222222"/>
          <w:sz w:val="22"/>
          <w:szCs w:val="22"/>
        </w:rPr>
        <w:t xml:space="preserve">K = d+1 = 4</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D = d = 3</w:t>
      </w:r>
      <w:r>
        <w:rPr>
          <w:rFonts w:ascii="Georgia" w:cs="Georgia" w:eastAsia="Georgia" w:hAnsi="Georgia"/>
          <w:color w:val="333333"/>
          <w:sz w:val="22"/>
          <w:szCs w:val="22"/>
        </w:rPr>
        <w:t xml:space="preserve">. Binary encoding of </w:t>
      </w:r>
      <w:r>
        <w:rPr>
          <w:rFonts w:ascii="Cambria Math" w:cs="Cambria Math" w:eastAsia="Cambria Math" w:hAnsi="Cambria Math"/>
          <w:color w:val="222222"/>
          <w:sz w:val="22"/>
          <w:szCs w:val="22"/>
        </w:rPr>
        <w:t xml:space="preserve">K</w:t>
      </w:r>
      <w:r>
        <w:rPr>
          <w:rFonts w:ascii="Georgia" w:cs="Georgia" w:eastAsia="Georgia" w:hAnsi="Georgia"/>
          <w:color w:val="333333"/>
          <w:sz w:val="22"/>
          <w:szCs w:val="22"/>
        </w:rPr>
        <w:t xml:space="preserve"> vertices in </w:t>
      </w:r>
      <w:r>
        <w:rPr>
          <w:rFonts w:ascii="Cambria Math" w:cs="Cambria Math" w:eastAsia="Cambria Math" w:hAnsi="Cambria Math"/>
          <w:color w:val="222222"/>
          <w:sz w:val="22"/>
          <w:szCs w:val="22"/>
        </w:rPr>
        <w:t xml:space="preserve">D</w:t>
      </w:r>
      <w:r>
        <w:rPr>
          <w:rFonts w:ascii="Georgia" w:cs="Georgia" w:eastAsia="Georgia" w:hAnsi="Georgia"/>
          <w:color w:val="333333"/>
          <w:sz w:val="22"/>
          <w:szCs w:val="22"/>
        </w:rPr>
        <w:t xml:space="preserve"> dimensions produces two interlocking tetrahedra — the stellated octahedron — whose face normals are identically the four tetrad basis vectors of general relativity.</w:t>
      </w:r>
    </w:p>
    <w:p>
      <w:pPr>
        <w:spacing w:before="60" w:after="60"/>
        <w:jc w:val="both"/>
      </w:pPr>
      <w:r>
        <w:rPr>
          <w:rFonts w:ascii="Georgia" w:cs="Georgia" w:eastAsia="Georgia" w:hAnsi="Georgia"/>
          <w:color w:val="333333"/>
          <w:sz w:val="22"/>
          <w:szCs w:val="22"/>
        </w:rPr>
        <w:t xml:space="preserve">The interpenetration of TetA and TetB creates </w:t>
      </w:r>
      <w:r>
        <w:rPr>
          <w:rFonts w:ascii="Cambria Math" w:cs="Cambria Math" w:eastAsia="Cambria Math" w:hAnsi="Cambria Math"/>
          <w:color w:val="222222"/>
          <w:sz w:val="22"/>
          <w:szCs w:val="22"/>
        </w:rPr>
        <w:t xml:space="preserve">K × K = 16</w:t>
      </w:r>
      <w:r>
        <w:rPr>
          <w:rFonts w:ascii="Georgia" w:cs="Georgia" w:eastAsia="Georgia" w:hAnsi="Georgia"/>
          <w:color w:val="333333"/>
          <w:sz w:val="22"/>
          <w:szCs w:val="22"/>
        </w:rPr>
        <w:t xml:space="preserve"> face-coupling channels and a single shared center: the Field Origin. The algebraic structure of this geometry is encoded in the coupling polynomial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whose normalization at </w:t>
      </w:r>
      <w:r>
        <w:rPr>
          <w:rFonts w:ascii="Cambria Math" w:cs="Cambria Math" w:eastAsia="Cambria Math" w:hAnsi="Cambria Math"/>
          <w:color w:val="222222"/>
          <w:sz w:val="22"/>
          <w:szCs w:val="22"/>
        </w:rPr>
        <w:t xml:space="preserve">k = K = 4</w:t>
      </w:r>
      <w:r>
        <w:rPr>
          <w:rFonts w:ascii="Georgia" w:cs="Georgia" w:eastAsia="Georgia" w:hAnsi="Georgia"/>
          <w:color w:val="333333"/>
          <w:sz w:val="22"/>
          <w:szCs w:val="22"/>
        </w:rPr>
        <w:t xml:space="preserve"> produces the constitutive law </w:t>
      </w:r>
      <w:r>
        <w:rPr>
          <w:rFonts w:ascii="Cambria Math" w:cs="Cambria Math" w:eastAsia="Cambria Math" w:hAnsi="Cambria Math"/>
          <w:color w:val="222222"/>
          <w:sz w:val="22"/>
          <w:szCs w:val="22"/>
        </w:rPr>
        <w:t xml:space="preserve">μ(x) = x/(x+1)</w:t>
      </w:r>
      <w:r>
        <w:rPr>
          <w:rFonts w:ascii="Georgia" w:cs="Georgia" w:eastAsia="Georgia" w:hAnsi="Georgia"/>
          <w:color w:val="333333"/>
          <w:sz w:val="22"/>
          <w:szCs w:val="22"/>
        </w:rPr>
        <w:t xml:space="preserve">.</w:t>
      </w:r>
    </w:p>
    <w:p>
      <w:pPr>
        <w:spacing w:before="60" w:after="60"/>
        <w:jc w:val="both"/>
      </w:pPr>
      <w:r>
        <w:rPr>
          <w:rFonts w:ascii="Georgia" w:cs="Georgia" w:eastAsia="Georgia" w:hAnsi="Georgia"/>
          <w:color w:val="333333"/>
          <w:sz w:val="22"/>
          <w:szCs w:val="22"/>
        </w:rPr>
        <w:t xml:space="preserve">This document addresses three questions. First: what exactly </w:t>
      </w:r>
      <w:r>
        <w:rPr>
          <w:rFonts w:ascii="Georgia" w:cs="Georgia" w:eastAsia="Georgia" w:hAnsi="Georgia"/>
          <w:i/>
          <w:iCs/>
          <w:color w:val="333333"/>
          <w:sz w:val="22"/>
          <w:szCs w:val="22"/>
        </w:rPr>
        <w:t xml:space="preserve">is</w:t>
      </w:r>
      <w:r>
        <w:rPr>
          <w:rFonts w:ascii="Georgia" w:cs="Georgia" w:eastAsia="Georgia" w:hAnsi="Georgia"/>
          <w:color w:val="333333"/>
          <w:sz w:val="22"/>
          <w:szCs w:val="22"/>
        </w:rPr>
        <w:t xml:space="preserve"> μ(x) within the GFD topology? Second: why does the same equation that Milgrom postulated phenomenologically in 1983 emerge from the stellated octahedron’s geometry? Third: what is the precise relationship between the constitutive law and the gravitational Poisson equation?</w:t>
      </w:r>
    </w:p>
    <w:p>
      <w:pPr>
        <w:pStyle w:val="Heading1"/>
        <w:spacing w:before="400" w:after="140"/>
      </w:pPr>
      <w:r>
        <w:rPr>
          <w:rFonts w:ascii="Georgia" w:cs="Georgia" w:eastAsia="Georgia" w:hAnsi="Georgia"/>
          <w:b/>
          <w:bCs/>
          <w:color w:val="1B2A4A"/>
          <w:sz w:val="32"/>
          <w:szCs w:val="32"/>
        </w:rPr>
        <w:t xml:space="preserve">2.  The Coupling Polynomial and Its Three Terms</w:t>
      </w:r>
    </w:p>
    <w:p>
      <w:pPr>
        <w:spacing w:before="60" w:after="60"/>
        <w:jc w:val="both"/>
      </w:pPr>
      <w:r>
        <w:rPr>
          <w:rFonts w:ascii="Georgia" w:cs="Georgia" w:eastAsia="Georgia" w:hAnsi="Georgia"/>
          <w:color w:val="333333"/>
          <w:sz w:val="22"/>
          <w:szCs w:val="22"/>
        </w:rPr>
        <w:t xml:space="preserve">The polynomial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is quadratic in the closure constant </w:t>
      </w:r>
      <w:r>
        <w:rPr>
          <w:rFonts w:ascii="Cambria Math" w:cs="Cambria Math" w:eastAsia="Cambria Math" w:hAnsi="Cambria Math"/>
          <w:color w:val="222222"/>
          <w:sz w:val="22"/>
          <w:szCs w:val="22"/>
        </w:rPr>
        <w:t xml:space="preserve">k</w:t>
      </w:r>
      <w:r>
        <w:rPr>
          <w:rFonts w:ascii="Georgia" w:cs="Georgia" w:eastAsia="Georgia" w:hAnsi="Georgia"/>
          <w:color w:val="333333"/>
          <w:sz w:val="22"/>
          <w:szCs w:val="22"/>
        </w:rPr>
        <w:t xml:space="preserve">, parameterized by the gravitational state </w:t>
      </w:r>
      <w:r>
        <w:rPr>
          <w:rFonts w:ascii="Cambria Math" w:cs="Cambria Math" w:eastAsia="Cambria Math" w:hAnsi="Cambria Math"/>
          <w:color w:val="222222"/>
          <w:sz w:val="22"/>
          <w:szCs w:val="22"/>
        </w:rPr>
        <w:t xml:space="preserve">s ∈ [−1, +1]</w:t>
      </w:r>
      <w:r>
        <w:rPr>
          <w:rFonts w:ascii="Georgia" w:cs="Georgia" w:eastAsia="Georgia" w:hAnsi="Georgia"/>
          <w:color w:val="333333"/>
          <w:sz w:val="22"/>
          <w:szCs w:val="22"/>
        </w:rPr>
        <w:t xml:space="preserve">. At </w:t>
      </w:r>
      <w:r>
        <w:rPr>
          <w:rFonts w:ascii="Cambria Math" w:cs="Cambria Math" w:eastAsia="Cambria Math" w:hAnsi="Cambria Math"/>
          <w:color w:val="222222"/>
          <w:sz w:val="22"/>
          <w:szCs w:val="22"/>
        </w:rPr>
        <w:t xml:space="preserve">k = K = 4</w:t>
      </w:r>
      <w:r>
        <w:rPr>
          <w:rFonts w:ascii="Georgia" w:cs="Georgia" w:eastAsia="Georgia" w:hAnsi="Georgia"/>
          <w:color w:val="333333"/>
          <w:sz w:val="22"/>
          <w:szCs w:val="22"/>
        </w:rPr>
        <w:t xml:space="preserve">, it evaluates to three structural values: </w:t>
      </w:r>
      <w:r>
        <w:rPr>
          <w:rFonts w:ascii="Cambria Math" w:cs="Cambria Math" w:eastAsia="Cambria Math" w:hAnsi="Cambria Math"/>
          <w:color w:val="222222"/>
          <w:sz w:val="22"/>
          <w:szCs w:val="22"/>
        </w:rPr>
        <w:t xml:space="preserve">f(+1) = 21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f(0) = 17</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f(−1) = 13</w:t>
      </w:r>
      <w:r>
        <w:rPr>
          <w:rFonts w:ascii="Georgia" w:cs="Georgia" w:eastAsia="Georgia" w:hAnsi="Georgia"/>
          <w:color w:val="333333"/>
          <w:sz w:val="22"/>
          <w:szCs w:val="22"/>
        </w:rPr>
        <w:t xml:space="preserve">, with range </w:t>
      </w:r>
      <w:r>
        <w:rPr>
          <w:rFonts w:ascii="Cambria Math" w:cs="Cambria Math" w:eastAsia="Cambria Math" w:hAnsi="Cambria Math"/>
          <w:color w:val="222222"/>
          <w:sz w:val="22"/>
          <w:szCs w:val="22"/>
        </w:rPr>
        <w:t xml:space="preserve">2K = 8 = 2ᴰ</w:t>
      </w:r>
      <w:r>
        <w:rPr>
          <w:rFonts w:ascii="Georgia" w:cs="Georgia" w:eastAsia="Georgia" w:hAnsi="Georgia"/>
          <w:color w:val="333333"/>
          <w:sz w:val="22"/>
          <w:szCs w:val="22"/>
        </w:rPr>
        <w:t xml:space="preserve">. Each of its three terms has a distinct geometric origin and dynamical role.</w:t>
      </w:r>
    </w:p>
    <w:p>
      <w:pPr>
        <w:pStyle w:val="Heading2"/>
        <w:spacing w:before="280" w:after="100"/>
      </w:pPr>
      <w:r>
        <w:rPr>
          <w:rFonts w:ascii="Georgia" w:cs="Georgia" w:eastAsia="Georgia" w:hAnsi="Georgia"/>
          <w:b/>
          <w:bCs/>
          <w:color w:val="2E5090"/>
          <w:sz w:val="26"/>
          <w:szCs w:val="26"/>
        </w:rPr>
        <w:t xml:space="preserve">2.1  The k² = 16 Term: Range</w:t>
      </w:r>
    </w:p>
    <w:p>
      <w:pPr>
        <w:spacing w:before="60" w:after="60"/>
        <w:jc w:val="both"/>
      </w:pPr>
      <w:r>
        <w:rPr>
          <w:rFonts w:ascii="Georgia" w:cs="Georgia" w:eastAsia="Georgia" w:hAnsi="Georgia"/>
          <w:color w:val="333333"/>
          <w:sz w:val="22"/>
          <w:szCs w:val="22"/>
        </w:rPr>
        <w:t xml:space="preserve">The quadratic term </w:t>
      </w:r>
      <w:r>
        <w:rPr>
          <w:rFonts w:ascii="Cambria Math" w:cs="Cambria Math" w:eastAsia="Cambria Math" w:hAnsi="Cambria Math"/>
          <w:color w:val="222222"/>
          <w:sz w:val="22"/>
          <w:szCs w:val="22"/>
        </w:rPr>
        <w:t xml:space="preserve">k² = K² = 16</w:t>
      </w:r>
      <w:r>
        <w:rPr>
          <w:rFonts w:ascii="Georgia" w:cs="Georgia" w:eastAsia="Georgia" w:hAnsi="Georgia"/>
          <w:color w:val="333333"/>
          <w:sz w:val="22"/>
          <w:szCs w:val="22"/>
        </w:rPr>
        <w:t xml:space="preserve"> counts the face-coupling channels: 4 faces per tetrahedron, each subdivided into 4 sub-regions by the penetrating dual, yielding </w:t>
      </w:r>
      <w:r>
        <w:rPr>
          <w:rFonts w:ascii="Cambria Math" w:cs="Cambria Math" w:eastAsia="Cambria Math" w:hAnsi="Cambria Math"/>
          <w:color w:val="222222"/>
          <w:sz w:val="22"/>
          <w:szCs w:val="22"/>
        </w:rPr>
        <w:t xml:space="preserve">4 × 4 = 16</w:t>
      </w:r>
      <w:r>
        <w:rPr>
          <w:rFonts w:ascii="Georgia" w:cs="Georgia" w:eastAsia="Georgia" w:hAnsi="Georgia"/>
          <w:color w:val="333333"/>
          <w:sz w:val="22"/>
          <w:szCs w:val="22"/>
        </w:rPr>
        <w:t xml:space="preserve"> independent channels. This term is state-independent — it contributes 16 regardless of the gravitational state </w:t>
      </w:r>
      <w:r>
        <w:rPr>
          <w:rFonts w:ascii="Cambria Math" w:cs="Cambria Math" w:eastAsia="Cambria Math" w:hAnsi="Cambria Math"/>
          <w:color w:val="222222"/>
          <w:sz w:val="22"/>
          <w:szCs w:val="22"/>
        </w:rPr>
        <w:t xml:space="preserve">s</w:t>
      </w:r>
      <w:r>
        <w:rPr>
          <w:rFonts w:ascii="Georgia" w:cs="Georgia" w:eastAsia="Georgia" w:hAnsi="Georgia"/>
          <w:color w:val="333333"/>
          <w:sz w:val="22"/>
          <w:szCs w:val="22"/>
        </w:rPr>
        <w:t xml:space="preserve">. It sets the floor of the polynomial (</w:t>
      </w:r>
      <w:r>
        <w:rPr>
          <w:rFonts w:ascii="Cambria Math" w:cs="Cambria Math" w:eastAsia="Cambria Math" w:hAnsi="Cambria Math"/>
          <w:color w:val="222222"/>
          <w:sz w:val="22"/>
          <w:szCs w:val="22"/>
        </w:rPr>
        <w:t xml:space="preserve">f_{min} = 13 &gt; 0</w:t>
      </w:r>
      <w:r>
        <w:rPr>
          <w:rFonts w:ascii="Georgia" w:cs="Georgia" w:eastAsia="Georgia" w:hAnsi="Georgia"/>
          <w:color w:val="333333"/>
          <w:sz w:val="22"/>
          <w:szCs w:val="22"/>
        </w:rPr>
        <w:t xml:space="preserve">), preventing negative coupling values, and establishes the range </w:t>
      </w:r>
      <w:r>
        <w:rPr>
          <w:rFonts w:ascii="Cambria Math" w:cs="Cambria Math" w:eastAsia="Cambria Math" w:hAnsi="Cambria Math"/>
          <w:color w:val="222222"/>
          <w:sz w:val="22"/>
          <w:szCs w:val="22"/>
        </w:rPr>
        <w:t xml:space="preserve">f_{max} − f_{min} = 8 = 2K</w:t>
      </w:r>
      <w:r>
        <w:rPr>
          <w:rFonts w:ascii="Georgia" w:cs="Georgia" w:eastAsia="Georgia" w:hAnsi="Georgia"/>
          <w:color w:val="333333"/>
          <w:sz w:val="22"/>
          <w:szCs w:val="22"/>
        </w:rPr>
        <w:t xml:space="preserve"> that becomes the normalization denominator for μ. In the bimetric parameterization of Hassan and Rosen, this term maps to </w:t>
      </w:r>
      <w:r>
        <w:rPr>
          <w:rFonts w:ascii="Cambria Math" w:cs="Cambria Math" w:eastAsia="Cambria Math" w:hAnsi="Cambria Math"/>
          <w:color w:val="222222"/>
          <w:sz w:val="22"/>
          <w:szCs w:val="22"/>
        </w:rPr>
        <w:t xml:space="preserve">β₂ = 16</w:t>
      </w:r>
      <w:r>
        <w:rPr>
          <w:rFonts w:ascii="Georgia" w:cs="Georgia" w:eastAsia="Georgia" w:hAnsi="Georgia"/>
          <w:color w:val="333333"/>
          <w:sz w:val="22"/>
          <w:szCs w:val="22"/>
        </w:rPr>
        <w:t xml:space="preserve">, contributing 96 out of 98 (97.96%) of the interaction energy at the proportional background.</w:t>
      </w:r>
    </w:p>
    <w:p>
      <w:pPr>
        <w:pStyle w:val="Heading2"/>
        <w:spacing w:before="280" w:after="100"/>
      </w:pPr>
      <w:r>
        <w:rPr>
          <w:rFonts w:ascii="Georgia" w:cs="Georgia" w:eastAsia="Georgia" w:hAnsi="Georgia"/>
          <w:b/>
          <w:bCs/>
          <w:color w:val="2E5090"/>
          <w:sz w:val="26"/>
          <w:szCs w:val="26"/>
        </w:rPr>
        <w:t xml:space="preserve">2.2  The sk Term: Flow</w:t>
      </w:r>
    </w:p>
    <w:p>
      <w:pPr>
        <w:spacing w:before="60" w:after="60"/>
        <w:jc w:val="both"/>
      </w:pPr>
      <w:r>
        <w:rPr>
          <w:rFonts w:ascii="Georgia" w:cs="Georgia" w:eastAsia="Georgia" w:hAnsi="Georgia"/>
          <w:color w:val="333333"/>
          <w:sz w:val="22"/>
          <w:szCs w:val="22"/>
        </w:rPr>
        <w:t xml:space="preserve">The middle term </w:t>
      </w:r>
      <w:r>
        <w:rPr>
          <w:rFonts w:ascii="Cambria Math" w:cs="Cambria Math" w:eastAsia="Cambria Math" w:hAnsi="Cambria Math"/>
          <w:color w:val="222222"/>
          <w:sz w:val="22"/>
          <w:szCs w:val="22"/>
        </w:rPr>
        <w:t xml:space="preserve">sk</w:t>
      </w:r>
      <w:r>
        <w:rPr>
          <w:rFonts w:ascii="Georgia" w:cs="Georgia" w:eastAsia="Georgia" w:hAnsi="Georgia"/>
          <w:color w:val="333333"/>
          <w:sz w:val="22"/>
          <w:szCs w:val="22"/>
        </w:rPr>
        <w:t xml:space="preserve"> is the only state-dependent part. Through the Möbius map </w:t>
      </w:r>
      <w:r>
        <w:rPr>
          <w:rFonts w:ascii="Cambria Math" w:cs="Cambria Math" w:eastAsia="Cambria Math" w:hAnsi="Cambria Math"/>
          <w:color w:val="222222"/>
          <w:sz w:val="22"/>
          <w:szCs w:val="22"/>
        </w:rPr>
        <w:t xml:space="preserve">s(x) = (x−1)/(x+1)</w:t>
      </w:r>
      <w:r>
        <w:rPr>
          <w:rFonts w:ascii="Georgia" w:cs="Georgia" w:eastAsia="Georgia" w:hAnsi="Georgia"/>
          <w:color w:val="333333"/>
          <w:sz w:val="22"/>
          <w:szCs w:val="22"/>
        </w:rPr>
        <w:t xml:space="preserve">, it becomes the signal that moves the capacity function between its endpoints. At the Field Origin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sk = 0</w:t>
      </w:r>
      <w:r>
        <w:rPr>
          <w:rFonts w:ascii="Georgia" w:cs="Georgia" w:eastAsia="Georgia" w:hAnsi="Georgia"/>
          <w:color w:val="333333"/>
          <w:sz w:val="22"/>
          <w:szCs w:val="22"/>
        </w:rPr>
        <w:t xml:space="preserve"> — no flow, </w:t>
      </w:r>
      <w:r>
        <w:rPr>
          <w:rFonts w:ascii="Cambria Math" w:cs="Cambria Math" w:eastAsia="Cambria Math" w:hAnsi="Cambria Math"/>
          <w:color w:val="222222"/>
          <w:sz w:val="22"/>
          <w:szCs w:val="22"/>
        </w:rPr>
        <w:t xml:space="preserve">f = 17</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μ = 1/2</w:t>
      </w:r>
      <w:r>
        <w:rPr>
          <w:rFonts w:ascii="Georgia" w:cs="Georgia" w:eastAsia="Georgia" w:hAnsi="Georgia"/>
          <w:color w:val="333333"/>
          <w:sz w:val="22"/>
          <w:szCs w:val="22"/>
        </w:rPr>
        <w:t xml:space="preserve">. In deep MOND (</w:t>
      </w:r>
      <w:r>
        <w:rPr>
          <w:rFonts w:ascii="Cambria Math" w:cs="Cambria Math" w:eastAsia="Cambria Math" w:hAnsi="Cambria Math"/>
          <w:color w:val="222222"/>
          <w:sz w:val="22"/>
          <w:szCs w:val="22"/>
        </w:rPr>
        <w:t xml:space="preserve">x → 0</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sk → −4</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f → 13</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μ → 0</w:t>
      </w:r>
      <w:r>
        <w:rPr>
          <w:rFonts w:ascii="Georgia" w:cs="Georgia" w:eastAsia="Georgia" w:hAnsi="Georgia"/>
          <w:color w:val="333333"/>
          <w:sz w:val="22"/>
          <w:szCs w:val="22"/>
        </w:rPr>
        <w:t xml:space="preserve">. In Newton (</w:t>
      </w:r>
      <w:r>
        <w:rPr>
          <w:rFonts w:ascii="Cambria Math" w:cs="Cambria Math" w:eastAsia="Cambria Math" w:hAnsi="Cambria Math"/>
          <w:color w:val="222222"/>
          <w:sz w:val="22"/>
          <w:szCs w:val="22"/>
        </w:rPr>
        <w:t xml:space="preserve">x → ∞</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sk → +4</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f → 21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μ → 1</w:t>
      </w:r>
      <w:r>
        <w:rPr>
          <w:rFonts w:ascii="Georgia" w:cs="Georgia" w:eastAsia="Georgia" w:hAnsi="Georgia"/>
          <w:color w:val="333333"/>
          <w:sz w:val="22"/>
          <w:szCs w:val="22"/>
        </w:rPr>
        <w:t xml:space="preserve">. The term is antisymmetric: </w:t>
      </w:r>
      <w:r>
        <w:rPr>
          <w:rFonts w:ascii="Cambria Math" w:cs="Cambria Math" w:eastAsia="Cambria Math" w:hAnsi="Cambria Math"/>
          <w:color w:val="222222"/>
          <w:sz w:val="22"/>
          <w:szCs w:val="22"/>
        </w:rPr>
        <w:t xml:space="preserve">sk(1/x) = −sk(x)</w:t>
      </w:r>
      <w:r>
        <w:rPr>
          <w:rFonts w:ascii="Georgia" w:cs="Georgia" w:eastAsia="Georgia" w:hAnsi="Georgia"/>
          <w:color w:val="333333"/>
          <w:sz w:val="22"/>
          <w:szCs w:val="22"/>
        </w:rPr>
        <w:t xml:space="preserve">, expressing the complement symmetry between TetA and TetB. Without it, </w:t>
      </w:r>
      <w:r>
        <w:rPr>
          <w:rFonts w:ascii="Cambria Math" w:cs="Cambria Math" w:eastAsia="Cambria Math" w:hAnsi="Cambria Math"/>
          <w:color w:val="222222"/>
          <w:sz w:val="22"/>
          <w:szCs w:val="22"/>
        </w:rPr>
        <w:t xml:space="preserve">f = 17</w:t>
      </w:r>
      <w:r>
        <w:rPr>
          <w:rFonts w:ascii="Georgia" w:cs="Georgia" w:eastAsia="Georgia" w:hAnsi="Georgia"/>
          <w:color w:val="333333"/>
          <w:sz w:val="22"/>
          <w:szCs w:val="22"/>
        </w:rPr>
        <w:t xml:space="preserve"> everywhere and there would be no dynamics.</w:t>
      </w:r>
    </w:p>
    <w:p>
      <w:pPr>
        <w:pStyle w:val="Heading2"/>
        <w:spacing w:before="280" w:after="100"/>
      </w:pPr>
      <w:r>
        <w:rPr>
          <w:rFonts w:ascii="Georgia" w:cs="Georgia" w:eastAsia="Georgia" w:hAnsi="Georgia"/>
          <w:b/>
          <w:bCs/>
          <w:color w:val="2E5090"/>
          <w:sz w:val="26"/>
          <w:szCs w:val="26"/>
        </w:rPr>
        <w:t xml:space="preserve">2.3  The k⁰ = 1 Term: Saturation</w:t>
      </w:r>
    </w:p>
    <w:p>
      <w:pPr>
        <w:spacing w:before="60" w:after="60"/>
        <w:jc w:val="both"/>
      </w:pPr>
      <w:r>
        <w:rPr>
          <w:rFonts w:ascii="Georgia" w:cs="Georgia" w:eastAsia="Georgia" w:hAnsi="Georgia"/>
          <w:color w:val="333333"/>
          <w:sz w:val="22"/>
          <w:szCs w:val="22"/>
        </w:rPr>
        <w:t xml:space="preserve">The constant term </w:t>
      </w: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is the Field Origin — the unique center where all eight compression vectors cancel. It acts as a single adsorption site in the language of Langmuir kinetics: one processing site gives </w:t>
      </w:r>
      <w:r>
        <w:rPr>
          <w:rFonts w:ascii="Cambria Math" w:cs="Cambria Math" w:eastAsia="Cambria Math" w:hAnsi="Cambria Math"/>
          <w:color w:val="222222"/>
          <w:sz w:val="22"/>
          <w:szCs w:val="22"/>
        </w:rPr>
        <w:t xml:space="preserve">μ = x/(1+x)</w:t>
      </w:r>
      <w:r>
        <w:rPr>
          <w:rFonts w:ascii="Georgia" w:cs="Georgia" w:eastAsia="Georgia" w:hAnsi="Georgia"/>
          <w:color w:val="333333"/>
          <w:sz w:val="22"/>
          <w:szCs w:val="22"/>
        </w:rPr>
        <w:t xml:space="preserve">, whereas </w:t>
      </w:r>
      <w:r>
        <w:rPr>
          <w:rFonts w:ascii="Cambria Math" w:cs="Cambria Math" w:eastAsia="Cambria Math" w:hAnsi="Cambria Math"/>
          <w:color w:val="222222"/>
          <w:sz w:val="22"/>
          <w:szCs w:val="22"/>
        </w:rPr>
        <w:t xml:space="preserve">n</w:t>
      </w:r>
      <w:r>
        <w:rPr>
          <w:rFonts w:ascii="Georgia" w:cs="Georgia" w:eastAsia="Georgia" w:hAnsi="Georgia"/>
          <w:color w:val="333333"/>
          <w:sz w:val="22"/>
          <w:szCs w:val="22"/>
        </w:rPr>
        <w:t xml:space="preserve"> sites would give </w:t>
      </w:r>
      <w:r>
        <w:rPr>
          <w:rFonts w:ascii="Cambria Math" w:cs="Cambria Math" w:eastAsia="Cambria Math" w:hAnsi="Cambria Math"/>
          <w:color w:val="222222"/>
          <w:sz w:val="22"/>
          <w:szCs w:val="22"/>
        </w:rPr>
        <w:t xml:space="preserve">xⁿ/(1+xⁿ)</w:t>
      </w:r>
      <w:r>
        <w:rPr>
          <w:rFonts w:ascii="Georgia" w:cs="Georgia" w:eastAsia="Georgia" w:hAnsi="Georgia"/>
          <w:color w:val="333333"/>
          <w:sz w:val="22"/>
          <w:szCs w:val="22"/>
        </w:rPr>
        <w:t xml:space="preserve">. The “1” in the denominator of μ IS the </w:t>
      </w: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term. If </w:t>
      </w:r>
      <w:r>
        <w:rPr>
          <w:rFonts w:ascii="Cambria Math" w:cs="Cambria Math" w:eastAsia="Cambria Math" w:hAnsi="Cambria Math"/>
          <w:color w:val="222222"/>
          <w:sz w:val="22"/>
          <w:szCs w:val="22"/>
        </w:rPr>
        <w:t xml:space="preserve">k⁰ = c</w:t>
      </w:r>
      <w:r>
        <w:rPr>
          <w:rFonts w:ascii="Georgia" w:cs="Georgia" w:eastAsia="Georgia" w:hAnsi="Georgia"/>
          <w:color w:val="333333"/>
          <w:sz w:val="22"/>
          <w:szCs w:val="22"/>
        </w:rPr>
        <w:t xml:space="preserve">, the transition would occur at </w:t>
      </w:r>
      <w:r>
        <w:rPr>
          <w:rFonts w:ascii="Cambria Math" w:cs="Cambria Math" w:eastAsia="Cambria Math" w:hAnsi="Cambria Math"/>
          <w:color w:val="222222"/>
          <w:sz w:val="22"/>
          <w:szCs w:val="22"/>
        </w:rPr>
        <w:t xml:space="preserve">x = c</w:t>
      </w:r>
      <w:r>
        <w:rPr>
          <w:rFonts w:ascii="Georgia" w:cs="Georgia" w:eastAsia="Georgia" w:hAnsi="Georgia"/>
          <w:color w:val="333333"/>
          <w:sz w:val="22"/>
          <w:szCs w:val="22"/>
        </w:rPr>
        <w:t xml:space="preserve"> rather than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Only </w:t>
      </w:r>
      <w:r>
        <w:rPr>
          <w:rFonts w:ascii="Cambria Math" w:cs="Cambria Math" w:eastAsia="Cambria Math" w:hAnsi="Cambria Math"/>
          <w:color w:val="222222"/>
          <w:sz w:val="22"/>
          <w:szCs w:val="22"/>
        </w:rPr>
        <w:t xml:space="preserve">c = 1</w:t>
      </w:r>
      <w:r>
        <w:rPr>
          <w:rFonts w:ascii="Georgia" w:cs="Georgia" w:eastAsia="Georgia" w:hAnsi="Georgia"/>
          <w:color w:val="333333"/>
          <w:sz w:val="22"/>
          <w:szCs w:val="22"/>
        </w:rPr>
        <w:t xml:space="preserve"> places the transition at unit acceleration ratio.</w:t>
      </w:r>
    </w:p>
    <w:p>
      <w:pPr>
        <w:pStyle w:val="Heading1"/>
        <w:spacing w:before="400" w:after="140"/>
      </w:pPr>
      <w:r>
        <w:rPr>
          <w:rFonts w:ascii="Georgia" w:cs="Georgia" w:eastAsia="Georgia" w:hAnsi="Georgia"/>
          <w:b/>
          <w:bCs/>
          <w:color w:val="1B2A4A"/>
          <w:sz w:val="32"/>
          <w:szCs w:val="32"/>
        </w:rPr>
        <w:t xml:space="preserve">3.  Assembly: From Polynomial to Constitutive Law</w:t>
      </w:r>
    </w:p>
    <w:p>
      <w:pPr>
        <w:spacing w:before="60" w:after="60"/>
        <w:jc w:val="both"/>
      </w:pPr>
      <w:r>
        <w:rPr>
          <w:rFonts w:ascii="Georgia" w:cs="Georgia" w:eastAsia="Georgia" w:hAnsi="Georgia"/>
          <w:color w:val="333333"/>
          <w:sz w:val="22"/>
          <w:szCs w:val="22"/>
        </w:rPr>
        <w:t xml:space="preserve">The Möbius map </w:t>
      </w:r>
      <w:r>
        <w:rPr>
          <w:rFonts w:ascii="Cambria Math" w:cs="Cambria Math" w:eastAsia="Cambria Math" w:hAnsi="Cambria Math"/>
          <w:color w:val="222222"/>
          <w:sz w:val="22"/>
          <w:szCs w:val="22"/>
        </w:rPr>
        <w:t xml:space="preserve">s(x) = (x−1)/(x+1)</w:t>
      </w:r>
      <w:r>
        <w:rPr>
          <w:rFonts w:ascii="Georgia" w:cs="Georgia" w:eastAsia="Georgia" w:hAnsi="Georgia"/>
          <w:color w:val="333333"/>
          <w:sz w:val="22"/>
          <w:szCs w:val="22"/>
        </w:rPr>
        <w:t xml:space="preserve"> is uniquely determined by three constraints: </w:t>
      </w:r>
      <w:r>
        <w:rPr>
          <w:rFonts w:ascii="Cambria Math" w:cs="Cambria Math" w:eastAsia="Cambria Math" w:hAnsi="Cambria Math"/>
          <w:color w:val="222222"/>
          <w:sz w:val="22"/>
          <w:szCs w:val="22"/>
        </w:rPr>
        <w:t xml:space="preserve">s(0) = −1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 = +1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s(1) = 0</w:t>
      </w:r>
      <w:r>
        <w:rPr>
          <w:rFonts w:ascii="Georgia" w:cs="Georgia" w:eastAsia="Georgia" w:hAnsi="Georgia"/>
          <w:color w:val="333333"/>
          <w:sz w:val="22"/>
          <w:szCs w:val="22"/>
        </w:rPr>
        <w:t xml:space="preserve">. Three constraints for three parameters: the system is exactly determined.</w:t>
      </w:r>
    </w:p>
    <w:p>
      <w:pPr>
        <w:spacing w:before="60" w:after="60"/>
        <w:jc w:val="both"/>
      </w:pPr>
      <w:r>
        <w:rPr>
          <w:rFonts w:ascii="Georgia" w:cs="Georgia" w:eastAsia="Georgia" w:hAnsi="Georgia"/>
          <w:color w:val="333333"/>
          <w:sz w:val="22"/>
          <w:szCs w:val="22"/>
        </w:rPr>
        <w:t xml:space="preserve">Composing the three terms:</w:t>
      </w:r>
    </w:p>
    <w:p>
      <w:pPr>
        <w:shd w:fill="F0F4F8" w:val="clear"/>
        <w:spacing w:before="160" w:after="160"/>
        <w:jc w:val="center"/>
      </w:pPr>
      <w:r>
        <w:rPr>
          <w:rFonts w:ascii="Cambria Math" w:cs="Cambria Math" w:eastAsia="Cambria Math" w:hAnsi="Cambria Math"/>
          <w:color w:val="1B2A4A"/>
          <w:sz w:val="24"/>
          <w:szCs w:val="24"/>
        </w:rPr>
        <w:t xml:space="preserve">f(x) = k² + s(x)·k + 1 = 16 + 4(x−1)/(x+1) + 1 = (21x + 13)/(x + 1)</w:t>
      </w:r>
    </w:p>
    <w:p>
      <w:pPr>
        <w:spacing w:before="60" w:after="60"/>
        <w:jc w:val="both"/>
      </w:pPr>
      <w:r>
        <w:rPr>
          <w:rFonts w:ascii="Georgia" w:cs="Georgia" w:eastAsia="Georgia" w:hAnsi="Georgia"/>
          <w:color w:val="333333"/>
          <w:sz w:val="22"/>
          <w:szCs w:val="22"/>
        </w:rPr>
        <w:t xml:space="preserve">Normalizing to the unit interval:</w:t>
      </w:r>
    </w:p>
    <w:p>
      <w:pPr>
        <w:shd w:fill="F0F4F8" w:val="clear"/>
        <w:spacing w:before="160" w:after="160"/>
        <w:jc w:val="center"/>
      </w:pPr>
      <w:r>
        <w:rPr>
          <w:rFonts w:ascii="Cambria Math" w:cs="Cambria Math" w:eastAsia="Cambria Math" w:hAnsi="Cambria Math"/>
          <w:color w:val="1B2A4A"/>
          <w:sz w:val="24"/>
          <w:szCs w:val="24"/>
        </w:rPr>
        <w:t xml:space="preserve">μ(x) = (f(x) − 13) / 8 = x / (x + 1)</w:t>
      </w:r>
    </w:p>
    <w:p>
      <w:pPr>
        <w:spacing w:before="60" w:after="60"/>
        <w:jc w:val="both"/>
      </w:pPr>
      <w:r>
        <w:rPr>
          <w:rFonts w:ascii="Georgia" w:cs="Georgia" w:eastAsia="Georgia" w:hAnsi="Georgia"/>
          <w:color w:val="333333"/>
          <w:sz w:val="22"/>
          <w:szCs w:val="22"/>
        </w:rPr>
        <w:t xml:space="preserve">The screening equation </w:t>
      </w:r>
      <w:r>
        <w:rPr>
          <w:rFonts w:ascii="Cambria Math" w:cs="Cambria Math" w:eastAsia="Cambria Math" w:hAnsi="Cambria Math"/>
          <w:color w:val="222222"/>
          <w:sz w:val="22"/>
          <w:szCs w:val="22"/>
        </w:rPr>
        <w:t xml:space="preserve">x(1−μ) = μ</w:t>
      </w:r>
      <w:r>
        <w:rPr>
          <w:rFonts w:ascii="Georgia" w:cs="Georgia" w:eastAsia="Georgia" w:hAnsi="Georgia"/>
          <w:color w:val="333333"/>
          <w:sz w:val="22"/>
          <w:szCs w:val="22"/>
        </w:rPr>
        <w:t xml:space="preserve"> is an algebraic identity of this normalization, not a postulate. It reads: </w:t>
      </w:r>
      <w:r>
        <w:rPr>
          <w:rFonts w:ascii="Georgia" w:cs="Georgia" w:eastAsia="Georgia" w:hAnsi="Georgia"/>
          <w:i/>
          <w:iCs/>
          <w:color w:val="333333"/>
          <w:sz w:val="22"/>
          <w:szCs w:val="22"/>
        </w:rPr>
        <w:t xml:space="preserve">signal × remaining capacity = used capacity</w:t>
      </w:r>
      <w:r>
        <w:rPr>
          <w:rFonts w:ascii="Georgia" w:cs="Georgia" w:eastAsia="Georgia" w:hAnsi="Georgia"/>
          <w:color w:val="333333"/>
          <w:sz w:val="22"/>
          <w:szCs w:val="22"/>
        </w:rPr>
        <w:t xml:space="preserve">. This is a balance equation on the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-dial.</w:t>
      </w:r>
    </w:p>
    <w:p>
      <w:pPr>
        <w:pStyle w:val="Heading1"/>
        <w:spacing w:before="400" w:after="140"/>
      </w:pPr>
      <w:r>
        <w:rPr>
          <w:rFonts w:ascii="Georgia" w:cs="Georgia" w:eastAsia="Georgia" w:hAnsi="Georgia"/>
          <w:b/>
          <w:bCs/>
          <w:color w:val="1B2A4A"/>
          <w:sz w:val="32"/>
          <w:szCs w:val="32"/>
        </w:rPr>
        <w:t xml:space="preserve">4.  The Physical Identification</w:t>
      </w:r>
    </w:p>
    <w:p>
      <w:pPr>
        <w:spacing w:before="200" w:after="200"/>
        <w:jc w:val="both"/>
      </w:pPr>
      <w:r>
        <w:rPr>
          <w:rFonts w:ascii="Georgia" w:cs="Georgia" w:eastAsia="Georgia" w:hAnsi="Georgia"/>
          <w:b/>
          <w:bCs/>
          <w:color w:val="333333"/>
          <w:sz w:val="22"/>
          <w:szCs w:val="22"/>
        </w:rPr>
        <w:t xml:space="preserve">μ(x) is the Field Origin’s normalized saturation response to a gravitational signal of strength x, where the signal flows through all K² = 16 face-coupling channels between TetA and TetB, and the saturation occurs because the Field Origin has capacity k⁰ = 1.</w:t>
      </w:r>
    </w:p>
    <w:p>
      <w:pPr>
        <w:spacing w:before="60" w:after="60"/>
        <w:jc w:val="both"/>
      </w:pPr>
      <w:r>
        <w:rPr>
          <w:rFonts w:ascii="Georgia" w:cs="Georgia" w:eastAsia="Georgia" w:hAnsi="Georgia"/>
          <w:color w:val="333333"/>
          <w:sz w:val="22"/>
          <w:szCs w:val="22"/>
        </w:rPr>
        <w:t xml:space="preserve">μ(x) is </w:t>
      </w:r>
      <w:r>
        <w:rPr>
          <w:rFonts w:ascii="Georgia" w:cs="Georgia" w:eastAsia="Georgia" w:hAnsi="Georgia"/>
          <w:i/>
          <w:iCs/>
          <w:color w:val="333333"/>
          <w:sz w:val="22"/>
          <w:szCs w:val="22"/>
        </w:rPr>
        <w:t xml:space="preserve">not</w:t>
      </w:r>
      <w:r>
        <w:rPr>
          <w:rFonts w:ascii="Georgia" w:cs="Georgia" w:eastAsia="Georgia" w:hAnsi="Georgia"/>
          <w:color w:val="333333"/>
          <w:sz w:val="22"/>
          <w:szCs w:val="22"/>
        </w:rPr>
        <w:t xml:space="preserve"> the Field Origin alone (that is only the saturation mechanism). It is </w:t>
      </w:r>
      <w:r>
        <w:rPr>
          <w:rFonts w:ascii="Georgia" w:cs="Georgia" w:eastAsia="Georgia" w:hAnsi="Georgia"/>
          <w:i/>
          <w:iCs/>
          <w:color w:val="333333"/>
          <w:sz w:val="22"/>
          <w:szCs w:val="22"/>
        </w:rPr>
        <w:t xml:space="preserve">not</w:t>
      </w:r>
      <w:r>
        <w:rPr>
          <w:rFonts w:ascii="Georgia" w:cs="Georgia" w:eastAsia="Georgia" w:hAnsi="Georgia"/>
          <w:color w:val="333333"/>
          <w:sz w:val="22"/>
          <w:szCs w:val="22"/>
        </w:rPr>
        <w:t xml:space="preserve"> the full face coupling alone (that only sets the range). It is </w:t>
      </w:r>
      <w:r>
        <w:rPr>
          <w:rFonts w:ascii="Georgia" w:cs="Georgia" w:eastAsia="Georgia" w:hAnsi="Georgia"/>
          <w:i/>
          <w:iCs/>
          <w:color w:val="333333"/>
          <w:sz w:val="22"/>
          <w:szCs w:val="22"/>
        </w:rPr>
        <w:t xml:space="preserve">not</w:t>
      </w:r>
      <w:r>
        <w:rPr>
          <w:rFonts w:ascii="Georgia" w:cs="Georgia" w:eastAsia="Georgia" w:hAnsi="Georgia"/>
          <w:color w:val="333333"/>
          <w:sz w:val="22"/>
          <w:szCs w:val="22"/>
        </w:rPr>
        <w:t xml:space="preserve"> the state-dependent flow alone (that only moves the pointer). All three terms are necessary. None is sufficient. The constitutive law requires the complete coupling polynomial to produce the specific form </w:t>
      </w:r>
      <w:r>
        <w:rPr>
          <w:rFonts w:ascii="Cambria Math" w:cs="Cambria Math" w:eastAsia="Cambria Math" w:hAnsi="Cambria Math"/>
          <w:color w:val="222222"/>
          <w:sz w:val="22"/>
          <w:szCs w:val="22"/>
        </w:rPr>
        <w:t xml:space="preserve">μ = x/(x+1)</w:t>
      </w:r>
      <w:r>
        <w:rPr>
          <w:rFonts w:ascii="Georgia" w:cs="Georgia" w:eastAsia="Georgia" w:hAnsi="Georgia"/>
          <w:color w:val="333333"/>
          <w:sz w:val="22"/>
          <w:szCs w:val="22"/>
        </w:rPr>
        <w:t xml:space="preserve">.</w:t>
      </w:r>
    </w:p>
    <w:p>
      <w:pPr>
        <w:pStyle w:val="Heading1"/>
        <w:spacing w:before="400" w:after="140"/>
      </w:pPr>
      <w:r>
        <w:rPr>
          <w:rFonts w:ascii="Georgia" w:cs="Georgia" w:eastAsia="Georgia" w:hAnsi="Georgia"/>
          <w:b/>
          <w:bCs/>
          <w:color w:val="1B2A4A"/>
          <w:sz w:val="32"/>
          <w:szCs w:val="32"/>
        </w:rPr>
        <w:t xml:space="preserve">5.  The Tetrahedral Partition Function</w:t>
      </w:r>
    </w:p>
    <w:p>
      <w:pPr>
        <w:spacing w:before="60" w:after="60"/>
        <w:jc w:val="both"/>
      </w:pPr>
      <w:r>
        <w:rPr>
          <w:rFonts w:ascii="Georgia" w:cs="Georgia" w:eastAsia="Georgia" w:hAnsi="Georgia"/>
          <w:color w:val="333333"/>
          <w:sz w:val="22"/>
          <w:szCs w:val="22"/>
        </w:rPr>
        <w:t xml:space="preserve">The complementary fractions </w:t>
      </w:r>
      <w:r>
        <w:rPr>
          <w:rFonts w:ascii="Cambria Math" w:cs="Cambria Math" w:eastAsia="Cambria Math" w:hAnsi="Cambria Math"/>
          <w:color w:val="222222"/>
          <w:sz w:val="22"/>
          <w:szCs w:val="22"/>
        </w:rPr>
        <w:t xml:space="preserve">μ</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1−μ</w:t>
      </w:r>
      <w:r>
        <w:rPr>
          <w:rFonts w:ascii="Georgia" w:cs="Georgia" w:eastAsia="Georgia" w:hAnsi="Georgia"/>
          <w:color w:val="333333"/>
          <w:sz w:val="22"/>
          <w:szCs w:val="22"/>
        </w:rPr>
        <w:t xml:space="preserve"> partition the gravitational field between TetA and TetB:</w:t>
      </w:r>
    </w:p>
    <w:p>
      <w:pPr>
        <w:shd w:fill="F0F4F8" w:val="clear"/>
        <w:spacing w:before="160" w:after="160"/>
        <w:jc w:val="center"/>
      </w:pPr>
      <w:r>
        <w:rPr>
          <w:rFonts w:ascii="Cambria Math" w:cs="Cambria Math" w:eastAsia="Cambria Math" w:hAnsi="Cambria Math"/>
          <w:color w:val="1B2A4A"/>
          <w:sz w:val="24"/>
          <w:szCs w:val="24"/>
        </w:rPr>
        <w:t xml:space="preserve">μ = (f − 13)/8  —  fraction processed by TetA (baryonic sector)</w:t>
      </w:r>
    </w:p>
    <w:p>
      <w:pPr>
        <w:shd w:fill="F0F4F8" w:val="clear"/>
        <w:spacing w:before="160" w:after="160"/>
        <w:jc w:val="center"/>
      </w:pPr>
      <w:r>
        <w:rPr>
          <w:rFonts w:ascii="Cambria Math" w:cs="Cambria Math" w:eastAsia="Cambria Math" w:hAnsi="Cambria Math"/>
          <w:color w:val="1B2A4A"/>
          <w:sz w:val="24"/>
          <w:szCs w:val="24"/>
        </w:rPr>
        <w:t xml:space="preserve">1 − μ = (21 − f)/8  —  fraction processed by TetB (field interior)</w:t>
      </w:r>
    </w:p>
    <w:p>
      <w:pPr>
        <w:spacing w:before="60" w:after="60"/>
        <w:jc w:val="both"/>
      </w:pPr>
      <w:r>
        <w:rPr>
          <w:rFonts w:ascii="Georgia" w:cs="Georgia" w:eastAsia="Georgia" w:hAnsi="Georgia"/>
          <w:color w:val="333333"/>
          <w:sz w:val="22"/>
          <w:szCs w:val="22"/>
        </w:rPr>
        <w:t xml:space="preserve">The complement symmetry </w:t>
      </w:r>
      <w:r>
        <w:rPr>
          <w:rFonts w:ascii="Cambria Math" w:cs="Cambria Math" w:eastAsia="Cambria Math" w:hAnsi="Cambria Math"/>
          <w:color w:val="222222"/>
          <w:sz w:val="22"/>
          <w:szCs w:val="22"/>
        </w:rPr>
        <w:t xml:space="preserve">μ(x) + μ(1/x) = 1</w:t>
      </w:r>
      <w:r>
        <w:rPr>
          <w:rFonts w:ascii="Georgia" w:cs="Georgia" w:eastAsia="Georgia" w:hAnsi="Georgia"/>
          <w:color w:val="333333"/>
          <w:sz w:val="22"/>
          <w:szCs w:val="22"/>
        </w:rPr>
        <w:t xml:space="preserve"> is the TetA/TetB exchange duality: whatever fraction is baryonic at acceleration </w:t>
      </w:r>
      <w:r>
        <w:rPr>
          <w:rFonts w:ascii="Cambria Math" w:cs="Cambria Math" w:eastAsia="Cambria Math" w:hAnsi="Cambria Math"/>
          <w:color w:val="222222"/>
          <w:sz w:val="22"/>
          <w:szCs w:val="22"/>
        </w:rPr>
        <w:t xml:space="preserve">x</w:t>
      </w:r>
      <w:r>
        <w:rPr>
          <w:rFonts w:ascii="Georgia" w:cs="Georgia" w:eastAsia="Georgia" w:hAnsi="Georgia"/>
          <w:color w:val="333333"/>
          <w:sz w:val="22"/>
          <w:szCs w:val="22"/>
        </w:rPr>
        <w:t xml:space="preserve"> is field at </w:t>
      </w:r>
      <w:r>
        <w:rPr>
          <w:rFonts w:ascii="Cambria Math" w:cs="Cambria Math" w:eastAsia="Cambria Math" w:hAnsi="Cambria Math"/>
          <w:color w:val="222222"/>
          <w:sz w:val="22"/>
          <w:szCs w:val="22"/>
        </w:rPr>
        <w:t xml:space="preserve">1/x</w:t>
      </w:r>
      <w:r>
        <w:rPr>
          <w:rFonts w:ascii="Georgia" w:cs="Georgia" w:eastAsia="Georgia" w:hAnsi="Georgia"/>
          <w:color w:val="333333"/>
          <w:sz w:val="22"/>
          <w:szCs w:val="22"/>
        </w:rPr>
        <w:t xml:space="preserve">. At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(Field Origin), the partition is 50/50 — bimetric equilibrium.</w:t>
      </w:r>
    </w:p>
    <w:p>
      <w:pPr>
        <w:spacing w:before="60" w:after="60"/>
        <w:jc w:val="both"/>
      </w:pPr>
      <w:r>
        <w:rPr>
          <w:rFonts w:ascii="Georgia" w:cs="Georgia" w:eastAsia="Georgia" w:hAnsi="Georgia"/>
          <w:color w:val="333333"/>
          <w:sz w:val="22"/>
          <w:szCs w:val="22"/>
        </w:rPr>
        <w:t xml:space="preserve">This is not a correction to Newtonian gravity. It is the fundamental decomposition of the gravitational field into its two constituent chambers. What ΛCDM attributes to dark matter is, in GFD, the TetB fraction </w:t>
      </w:r>
      <w:r>
        <w:rPr>
          <w:rFonts w:ascii="Cambria Math" w:cs="Cambria Math" w:eastAsia="Cambria Math" w:hAnsi="Cambria Math"/>
          <w:color w:val="222222"/>
          <w:sz w:val="22"/>
          <w:szCs w:val="22"/>
        </w:rPr>
        <w:t xml:space="preserve">1/(x+1)</w:t>
      </w:r>
      <w:r>
        <w:rPr>
          <w:rFonts w:ascii="Georgia" w:cs="Georgia" w:eastAsia="Georgia" w:hAnsi="Georgia"/>
          <w:color w:val="333333"/>
          <w:sz w:val="22"/>
          <w:szCs w:val="22"/>
        </w:rPr>
        <w:t xml:space="preserve"> of the total field — fully determined by the constitutive law and the observed rotation curve.</w:t>
      </w:r>
    </w:p>
    <w:p>
      <w:pPr>
        <w:pStyle w:val="Heading1"/>
        <w:spacing w:before="400" w:after="140"/>
      </w:pPr>
      <w:r>
        <w:rPr>
          <w:rFonts w:ascii="Georgia" w:cs="Georgia" w:eastAsia="Georgia" w:hAnsi="Georgia"/>
          <w:b/>
          <w:bCs/>
          <w:color w:val="1B2A4A"/>
          <w:sz w:val="32"/>
          <w:szCs w:val="32"/>
        </w:rPr>
        <w:t xml:space="preserve">6.  The N-Metric Generalization</w:t>
      </w:r>
    </w:p>
    <w:p>
      <w:pPr>
        <w:spacing w:before="60" w:after="60"/>
        <w:jc w:val="both"/>
      </w:pPr>
      <w:r>
        <w:rPr>
          <w:rFonts w:ascii="Georgia" w:cs="Georgia" w:eastAsia="Georgia" w:hAnsi="Georgia"/>
          <w:color w:val="333333"/>
          <w:sz w:val="22"/>
          <w:szCs w:val="22"/>
        </w:rPr>
        <w:t xml:space="preserve">The stellated octahedron has exactly two tetrahedra, so the number of dynamical chambers </w:t>
      </w:r>
      <w:r>
        <w:rPr>
          <w:rFonts w:ascii="Cambria Math" w:cs="Cambria Math" w:eastAsia="Cambria Math" w:hAnsi="Cambria Math"/>
          <w:color w:val="222222"/>
          <w:sz w:val="22"/>
          <w:szCs w:val="22"/>
        </w:rPr>
        <w:t xml:space="preserve">N ∈ {1, 2}</w:t>
      </w:r>
      <w:r>
        <w:rPr>
          <w:rFonts w:ascii="Georgia" w:cs="Georgia" w:eastAsia="Georgia" w:hAnsi="Georgia"/>
          <w:color w:val="333333"/>
          <w:sz w:val="22"/>
          <w:szCs w:val="22"/>
        </w:rPr>
        <w:t xml:space="preserve">. The generalized screening equation </w:t>
      </w:r>
      <w:r>
        <w:rPr>
          <w:rFonts w:ascii="Cambria Math" w:cs="Cambria Math" w:eastAsia="Cambria Math" w:hAnsi="Cambria Math"/>
          <w:color w:val="222222"/>
          <w:sz w:val="22"/>
          <w:szCs w:val="22"/>
        </w:rPr>
        <w:t xml:space="preserve">x(1−μ)ᴺ = μ</w:t>
      </w:r>
      <w:r>
        <w:rPr>
          <w:rFonts w:ascii="Georgia" w:cs="Georgia" w:eastAsia="Georgia" w:hAnsi="Georgia"/>
          <w:color w:val="333333"/>
          <w:sz w:val="22"/>
          <w:szCs w:val="22"/>
        </w:rPr>
        <w:t xml:space="preserve"> at </w:t>
      </w:r>
      <w:r>
        <w:rPr>
          <w:rFonts w:ascii="Cambria Math" w:cs="Cambria Math" w:eastAsia="Cambria Math" w:hAnsi="Cambria Math"/>
          <w:color w:val="222222"/>
          <w:sz w:val="22"/>
          <w:szCs w:val="22"/>
        </w:rPr>
        <w:t xml:space="preserve">N = 1</w:t>
      </w:r>
      <w:r>
        <w:rPr>
          <w:rFonts w:ascii="Georgia" w:cs="Georgia" w:eastAsia="Georgia" w:hAnsi="Georgia"/>
          <w:color w:val="333333"/>
          <w:sz w:val="22"/>
          <w:szCs w:val="22"/>
        </w:rPr>
        <w:t xml:space="preserve"> (scalar-tensor limit) gives </w:t>
      </w:r>
      <w:r>
        <w:rPr>
          <w:rFonts w:ascii="Cambria Math" w:cs="Cambria Math" w:eastAsia="Cambria Math" w:hAnsi="Cambria Math"/>
          <w:color w:val="222222"/>
          <w:sz w:val="22"/>
          <w:szCs w:val="22"/>
        </w:rPr>
        <w:t xml:space="preserve">μ₁ = x/(x+1)</w:t>
      </w:r>
      <w:r>
        <w:rPr>
          <w:rFonts w:ascii="Georgia" w:cs="Georgia" w:eastAsia="Georgia" w:hAnsi="Georgia"/>
          <w:color w:val="333333"/>
          <w:sz w:val="22"/>
          <w:szCs w:val="22"/>
        </w:rPr>
        <w:t xml:space="preserve"> with transition value </w:t>
      </w:r>
      <w:r>
        <w:rPr>
          <w:rFonts w:ascii="Cambria Math" w:cs="Cambria Math" w:eastAsia="Cambria Math" w:hAnsi="Cambria Math"/>
          <w:color w:val="222222"/>
          <w:sz w:val="22"/>
          <w:szCs w:val="22"/>
        </w:rPr>
        <w:t xml:space="preserve">μ₁(1) = 1/2</w:t>
      </w:r>
      <w:r>
        <w:rPr>
          <w:rFonts w:ascii="Georgia" w:cs="Georgia" w:eastAsia="Georgia" w:hAnsi="Georgia"/>
          <w:color w:val="333333"/>
          <w:sz w:val="22"/>
          <w:szCs w:val="22"/>
        </w:rPr>
        <w:t xml:space="preserve">. At </w:t>
      </w:r>
      <w:r>
        <w:rPr>
          <w:rFonts w:ascii="Cambria Math" w:cs="Cambria Math" w:eastAsia="Cambria Math" w:hAnsi="Cambria Math"/>
          <w:color w:val="222222"/>
          <w:sz w:val="22"/>
          <w:szCs w:val="22"/>
        </w:rPr>
        <w:t xml:space="preserve">N = 2</w:t>
      </w:r>
      <w:r>
        <w:rPr>
          <w:rFonts w:ascii="Georgia" w:cs="Georgia" w:eastAsia="Georgia" w:hAnsi="Georgia"/>
          <w:color w:val="333333"/>
          <w:sz w:val="22"/>
          <w:szCs w:val="22"/>
        </w:rPr>
        <w:t xml:space="preserve"> (full bimetric) it gives </w:t>
      </w:r>
      <w:r>
        <w:rPr>
          <w:rFonts w:ascii="Cambria Math" w:cs="Cambria Math" w:eastAsia="Cambria Math" w:hAnsi="Cambria Math"/>
          <w:color w:val="222222"/>
          <w:sz w:val="22"/>
          <w:szCs w:val="22"/>
        </w:rPr>
        <w:t xml:space="preserve">μ₂ = (√(1+4x)−1)/(√(1+4x)+1)</w:t>
      </w:r>
      <w:r>
        <w:rPr>
          <w:rFonts w:ascii="Georgia" w:cs="Georgia" w:eastAsia="Georgia" w:hAnsi="Georgia"/>
          <w:color w:val="333333"/>
          <w:sz w:val="22"/>
          <w:szCs w:val="22"/>
        </w:rPr>
        <w:t xml:space="preserve"> with </w:t>
      </w:r>
      <w:r>
        <w:rPr>
          <w:rFonts w:ascii="Cambria Math" w:cs="Cambria Math" w:eastAsia="Cambria Math" w:hAnsi="Cambria Math"/>
          <w:color w:val="222222"/>
          <w:sz w:val="22"/>
          <w:szCs w:val="22"/>
        </w:rPr>
        <w:t xml:space="preserve">μ₂(1) = 1/φ² ≈ 0.382</w:t>
      </w:r>
      <w:r>
        <w:rPr>
          <w:rFonts w:ascii="Georgia" w:cs="Georgia" w:eastAsia="Georgia" w:hAnsi="Georgia"/>
          <w:color w:val="333333"/>
          <w:sz w:val="22"/>
          <w:szCs w:val="22"/>
        </w:rPr>
        <w:t xml:space="preserve">. The 11.8% difference at the transition is measurable with existing SPARC data.</w:t>
      </w:r>
    </w:p>
    <w:p>
      <w:pPr>
        <w:pStyle w:val="Heading1"/>
        <w:spacing w:before="400" w:after="140"/>
      </w:pPr>
      <w:r>
        <w:rPr>
          <w:rFonts w:ascii="Georgia" w:cs="Georgia" w:eastAsia="Georgia" w:hAnsi="Georgia"/>
          <w:b/>
          <w:bCs/>
          <w:color w:val="1B2A4A"/>
          <w:sz w:val="32"/>
          <w:szCs w:val="32"/>
        </w:rPr>
        <w:t xml:space="preserve">7.  Cosmological Cross-Check: The 1/6 Exponent</w:t>
      </w:r>
    </w:p>
    <w:p>
      <w:pPr>
        <w:spacing w:before="60" w:after="60"/>
        <w:jc w:val="both"/>
      </w:pPr>
      <w:r>
        <w:rPr>
          <w:rFonts w:ascii="Georgia" w:cs="Georgia" w:eastAsia="Georgia" w:hAnsi="Georgia"/>
          <w:color w:val="333333"/>
          <w:sz w:val="22"/>
          <w:szCs w:val="22"/>
        </w:rPr>
        <w:t xml:space="preserve">Writing </w:t>
      </w:r>
      <w:r>
        <w:rPr>
          <w:rFonts w:ascii="Cambria Math" w:cs="Cambria Math" w:eastAsia="Cambria Math" w:hAnsi="Cambria Math"/>
          <w:color w:val="222222"/>
          <w:sz w:val="22"/>
          <w:szCs w:val="22"/>
        </w:rPr>
        <w:t xml:space="preserve">v⁴ = GM(g + a₀)</w:t>
      </w:r>
      <w:r>
        <w:rPr>
          <w:rFonts w:ascii="Georgia" w:cs="Georgia" w:eastAsia="Georgia" w:hAnsi="Georgia"/>
          <w:color w:val="333333"/>
          <w:sz w:val="22"/>
          <w:szCs w:val="22"/>
        </w:rPr>
        <w:t xml:space="preserve"> at two redshifts and dividing gives the quadratic </w:t>
      </w:r>
      <w:r>
        <w:rPr>
          <w:rFonts w:ascii="Cambria Math" w:cs="Cambria Math" w:eastAsia="Cambria Math" w:hAnsi="Cambria Math"/>
          <w:color w:val="222222"/>
          <w:sz w:val="22"/>
          <w:szCs w:val="22"/>
        </w:rPr>
        <w:t xml:space="preserve">q²(x₀+1) − qx₀ − h = 0</w:t>
      </w:r>
      <w:r>
        <w:rPr>
          <w:rFonts w:ascii="Georgia" w:cs="Georgia" w:eastAsia="Georgia" w:hAnsi="Georgia"/>
          <w:color w:val="333333"/>
          <w:sz w:val="22"/>
          <w:szCs w:val="22"/>
        </w:rPr>
        <w:t xml:space="preserve">. The linearized velocity evolution exponent is </w:t>
      </w:r>
      <w:r>
        <w:rPr>
          <w:rFonts w:ascii="Cambria Math" w:cs="Cambria Math" w:eastAsia="Cambria Math" w:hAnsi="Cambria Math"/>
          <w:color w:val="222222"/>
          <w:sz w:val="22"/>
          <w:szCs w:val="22"/>
        </w:rPr>
        <w:t xml:space="preserve">α = 1/(2(x₀+2))</w:t>
      </w:r>
      <w:r>
        <w:rPr>
          <w:rFonts w:ascii="Georgia" w:cs="Georgia" w:eastAsia="Georgia" w:hAnsi="Georgia"/>
          <w:color w:val="333333"/>
          <w:sz w:val="22"/>
          <w:szCs w:val="22"/>
        </w:rPr>
        <w:t xml:space="preserve">. At the Field Origin </w:t>
      </w:r>
      <w:r>
        <w:rPr>
          <w:rFonts w:ascii="Cambria Math" w:cs="Cambria Math" w:eastAsia="Cambria Math" w:hAnsi="Cambria Math"/>
          <w:color w:val="222222"/>
          <w:sz w:val="22"/>
          <w:szCs w:val="22"/>
        </w:rPr>
        <w:t xml:space="preserve">x₀ = 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α = 1/(2D) = 1/6 = 0.1667</w:t>
      </w:r>
      <w:r>
        <w:rPr>
          <w:rFonts w:ascii="Georgia" w:cs="Georgia" w:eastAsia="Georgia" w:hAnsi="Georgia"/>
          <w:color w:val="333333"/>
          <w:sz w:val="22"/>
          <w:szCs w:val="22"/>
        </w:rPr>
        <w:t xml:space="preserve">, matching the SST action’s independently derived 0.17 to 2%. The disformal screening IS the constitutive law at the Field Origin boundary.</w:t>
      </w:r>
    </w:p>
    <w:p>
      <w:r>
        <w:br w:type="page"/>
      </w:r>
    </w:p>
    <w:p>
      <w:pPr>
        <w:pStyle w:val="Heading1"/>
        <w:spacing w:before="400" w:after="140"/>
      </w:pPr>
      <w:r>
        <w:rPr>
          <w:rFonts w:ascii="Georgia" w:cs="Georgia" w:eastAsia="Georgia" w:hAnsi="Georgia"/>
          <w:b/>
          <w:bCs/>
          <w:color w:val="1B2A4A"/>
          <w:sz w:val="32"/>
          <w:szCs w:val="32"/>
        </w:rPr>
        <w:t xml:space="preserve">8.  The Poisson Connection: Two Projections of One Polynomial</w:t>
      </w:r>
    </w:p>
    <w:p>
      <w:pPr>
        <w:spacing w:before="60" w:after="60"/>
        <w:jc w:val="both"/>
      </w:pPr>
      <w:r>
        <w:rPr>
          <w:rFonts w:ascii="Georgia" w:cs="Georgia" w:eastAsia="Georgia" w:hAnsi="Georgia"/>
          <w:color w:val="333333"/>
          <w:sz w:val="22"/>
          <w:szCs w:val="22"/>
        </w:rPr>
        <w:t xml:space="preserve">This is the central new result. The gravitational Poisson equation and the constitutive law are not two different things. They are two projections of the same coupling polynomial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evaluated at different sets of states.</w:t>
      </w:r>
    </w:p>
    <w:p>
      <w:pPr>
        <w:pStyle w:val="Heading2"/>
        <w:spacing w:before="280" w:after="100"/>
      </w:pPr>
      <w:r>
        <w:rPr>
          <w:rFonts w:ascii="Georgia" w:cs="Georgia" w:eastAsia="Georgia" w:hAnsi="Georgia"/>
          <w:b/>
          <w:bCs/>
          <w:color w:val="2E5090"/>
          <w:sz w:val="26"/>
          <w:szCs w:val="26"/>
        </w:rPr>
        <w:t xml:space="preserve">8.1  The Poisson Projection (Static)</w:t>
      </w:r>
    </w:p>
    <w:p>
      <w:pPr>
        <w:spacing w:before="60" w:after="60"/>
        <w:jc w:val="both"/>
      </w:pPr>
      <w:r>
        <w:rPr>
          <w:rFonts w:ascii="Georgia" w:cs="Georgia" w:eastAsia="Georgia" w:hAnsi="Georgia"/>
          <w:color w:val="333333"/>
          <w:sz w:val="22"/>
          <w:szCs w:val="22"/>
        </w:rPr>
        <w:t xml:space="preserve">The standard Poisson equation </w:t>
      </w:r>
      <w:r>
        <w:rPr>
          <w:rFonts w:ascii="Cambria Math" w:cs="Cambria Math" w:eastAsia="Cambria Math" w:hAnsi="Cambria Math"/>
          <w:color w:val="222222"/>
          <w:sz w:val="22"/>
          <w:szCs w:val="22"/>
        </w:rPr>
        <w:t xml:space="preserve">∇²Φ = 4πGρ</w:t>
      </w:r>
      <w:r>
        <w:rPr>
          <w:rFonts w:ascii="Georgia" w:cs="Georgia" w:eastAsia="Georgia" w:hAnsi="Georgia"/>
          <w:color w:val="333333"/>
          <w:sz w:val="22"/>
          <w:szCs w:val="22"/>
        </w:rPr>
        <w:t xml:space="preserve"> contains two factors that trace to the coupling polynomial:</w:t>
      </w:r>
    </w:p>
    <w:p>
      <w:pPr>
        <w:spacing w:before="60" w:after="60"/>
        <w:jc w:val="both"/>
      </w:pPr>
      <w:r>
        <w:rPr>
          <w:rFonts w:ascii="Cambria Math" w:cs="Cambria Math" w:eastAsia="Cambria Math" w:hAnsi="Cambria Math"/>
          <w:color w:val="222222"/>
          <w:sz w:val="22"/>
          <w:szCs w:val="22"/>
        </w:rPr>
        <w:t xml:space="preserve">4π = kπ</w:t>
      </w:r>
      <w:r>
        <w:rPr>
          <w:rFonts w:ascii="Georgia" w:cs="Georgia" w:eastAsia="Georgia" w:hAnsi="Georgia"/>
          <w:color w:val="333333"/>
          <w:sz w:val="22"/>
          <w:szCs w:val="22"/>
        </w:rPr>
        <w:t xml:space="preserve">, where </w:t>
      </w: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This is NOT from the surface area </w:t>
      </w:r>
      <w:r>
        <w:rPr>
          <w:rFonts w:ascii="Cambria Math" w:cs="Cambria Math" w:eastAsia="Cambria Math" w:hAnsi="Cambria Math"/>
          <w:color w:val="222222"/>
          <w:sz w:val="22"/>
          <w:szCs w:val="22"/>
        </w:rPr>
        <w:t xml:space="preserve">A = 4πr²</w:t>
      </w:r>
      <w:r>
        <w:rPr>
          <w:rFonts w:ascii="Georgia" w:cs="Georgia" w:eastAsia="Georgia" w:hAnsi="Georgia"/>
          <w:color w:val="333333"/>
          <w:sz w:val="22"/>
          <w:szCs w:val="22"/>
        </w:rPr>
        <w:t xml:space="preserve"> (which contains the scale </w:t>
      </w:r>
      <w:r>
        <w:rPr>
          <w:rFonts w:ascii="Cambria Math" w:cs="Cambria Math" w:eastAsia="Cambria Math" w:hAnsi="Cambria Math"/>
          <w:color w:val="222222"/>
          <w:sz w:val="22"/>
          <w:szCs w:val="22"/>
        </w:rPr>
        <w:t xml:space="preserve">r</w:t>
      </w:r>
      <w:r>
        <w:rPr>
          <w:rFonts w:ascii="Georgia" w:cs="Georgia" w:eastAsia="Georgia" w:hAnsi="Georgia"/>
          <w:color w:val="333333"/>
          <w:sz w:val="22"/>
          <w:szCs w:val="22"/>
        </w:rPr>
        <w:t xml:space="preserve">). It is the solid angle partition: </w:t>
      </w: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tetrahedral faces, each carrying </w:t>
      </w:r>
      <w:r>
        <w:rPr>
          <w:rFonts w:ascii="Cambria Math" w:cs="Cambria Math" w:eastAsia="Cambria Math" w:hAnsi="Cambria Math"/>
          <w:color w:val="222222"/>
          <w:sz w:val="22"/>
          <w:szCs w:val="22"/>
        </w:rPr>
        <w:t xml:space="preserve">π</w:t>
      </w:r>
      <w:r>
        <w:rPr>
          <w:rFonts w:ascii="Georgia" w:cs="Georgia" w:eastAsia="Georgia" w:hAnsi="Georgia"/>
          <w:color w:val="333333"/>
          <w:sz w:val="22"/>
          <w:szCs w:val="22"/>
        </w:rPr>
        <w:t xml:space="preserve"> steradians of solid angle. No </w:t>
      </w:r>
      <w:r>
        <w:rPr>
          <w:rFonts w:ascii="Cambria Math" w:cs="Cambria Math" w:eastAsia="Cambria Math" w:hAnsi="Cambria Math"/>
          <w:color w:val="222222"/>
          <w:sz w:val="22"/>
          <w:szCs w:val="22"/>
        </w:rPr>
        <w:t xml:space="preserve">r</w:t>
      </w:r>
      <w:r>
        <w:rPr>
          <w:rFonts w:ascii="Georgia" w:cs="Georgia" w:eastAsia="Georgia" w:hAnsi="Georgia"/>
          <w:color w:val="333333"/>
          <w:sz w:val="22"/>
          <w:szCs w:val="22"/>
        </w:rPr>
        <w:t xml:space="preserve"> appears. The standard surface-area derivation and the topological channel count both arrive at </w:t>
      </w:r>
      <w:r>
        <w:rPr>
          <w:rFonts w:ascii="Cambria Math" w:cs="Cambria Math" w:eastAsia="Cambria Math" w:hAnsi="Cambria Math"/>
          <w:color w:val="222222"/>
          <w:sz w:val="22"/>
          <w:szCs w:val="22"/>
        </w:rPr>
        <w:t xml:space="preserve">4π</w:t>
      </w:r>
      <w:r>
        <w:rPr>
          <w:rFonts w:ascii="Georgia" w:cs="Georgia" w:eastAsia="Georgia" w:hAnsi="Georgia"/>
          <w:color w:val="333333"/>
          <w:sz w:val="22"/>
          <w:szCs w:val="22"/>
        </w:rPr>
        <w:t xml:space="preserve"> because both count the same geometry from different starting points. The topological form makes scale-independence manifest.</w:t>
      </w:r>
    </w:p>
    <w:p>
      <w:pPr>
        <w:spacing w:before="60" w:after="60"/>
        <w:jc w:val="both"/>
      </w:pPr>
      <w:r>
        <w:rPr>
          <w:rFonts w:ascii="Cambria Math" w:cs="Cambria Math" w:eastAsia="Cambria Math" w:hAnsi="Cambria Math"/>
          <w:color w:val="222222"/>
          <w:sz w:val="22"/>
          <w:szCs w:val="22"/>
        </w:rPr>
        <w:t xml:space="preserve">G = G_{eff} = (17/13) · G_{bare}</w:t>
      </w:r>
      <w:r>
        <w:rPr>
          <w:rFonts w:ascii="Georgia" w:cs="Georgia" w:eastAsia="Georgia" w:hAnsi="Georgia"/>
          <w:color w:val="333333"/>
          <w:sz w:val="22"/>
          <w:szCs w:val="22"/>
        </w:rPr>
        <w:t xml:space="preserve">, where </w:t>
      </w:r>
      <w:r>
        <w:rPr>
          <w:rFonts w:ascii="Cambria Math" w:cs="Cambria Math" w:eastAsia="Cambria Math" w:hAnsi="Cambria Math"/>
          <w:color w:val="222222"/>
          <w:sz w:val="22"/>
          <w:szCs w:val="22"/>
        </w:rPr>
        <w:t xml:space="preserve">17 = f(K, 0)</w:t>
      </w:r>
      <w:r>
        <w:rPr>
          <w:rFonts w:ascii="Georgia" w:cs="Georgia" w:eastAsia="Georgia" w:hAnsi="Georgia"/>
          <w:color w:val="333333"/>
          <w:sz w:val="22"/>
          <w:szCs w:val="22"/>
        </w:rPr>
        <w:t xml:space="preserve"> is the coupling capacity at the Field Origin and </w:t>
      </w:r>
      <w:r>
        <w:rPr>
          <w:rFonts w:ascii="Cambria Math" w:cs="Cambria Math" w:eastAsia="Cambria Math" w:hAnsi="Cambria Math"/>
          <w:color w:val="222222"/>
          <w:sz w:val="22"/>
          <w:szCs w:val="22"/>
        </w:rPr>
        <w:t xml:space="preserve">13 = f(K, −1)</w:t>
      </w:r>
      <w:r>
        <w:rPr>
          <w:rFonts w:ascii="Georgia" w:cs="Georgia" w:eastAsia="Georgia" w:hAnsi="Georgia"/>
          <w:color w:val="333333"/>
          <w:sz w:val="22"/>
          <w:szCs w:val="22"/>
        </w:rPr>
        <w:t xml:space="preserve"> is the observable capacity at the spatial projection. Their ratio </w:t>
      </w:r>
      <w:r>
        <w:rPr>
          <w:rFonts w:ascii="Cambria Math" w:cs="Cambria Math" w:eastAsia="Cambria Math" w:hAnsi="Cambria Math"/>
          <w:color w:val="222222"/>
          <w:sz w:val="22"/>
          <w:szCs w:val="22"/>
        </w:rPr>
        <w:t xml:space="preserve">17/13</w:t>
      </w:r>
      <w:r>
        <w:rPr>
          <w:rFonts w:ascii="Georgia" w:cs="Georgia" w:eastAsia="Georgia" w:hAnsi="Georgia"/>
          <w:color w:val="333333"/>
          <w:sz w:val="22"/>
          <w:szCs w:val="22"/>
        </w:rPr>
        <w:t xml:space="preserve"> is the enhancement from total coupling capacity exceeding observable capacity. This ratio has the continued fraction expansion </w:t>
      </w:r>
      <w:r>
        <w:rPr>
          <w:rFonts w:ascii="Cambria Math" w:cs="Cambria Math" w:eastAsia="Cambria Math" w:hAnsi="Cambria Math"/>
          <w:color w:val="222222"/>
          <w:sz w:val="22"/>
          <w:szCs w:val="22"/>
        </w:rPr>
        <w:t xml:space="preserve">[1; 3, 4] = [1; D, K]</w:t>
      </w:r>
      <w:r>
        <w:rPr>
          <w:rFonts w:ascii="Georgia" w:cs="Georgia" w:eastAsia="Georgia" w:hAnsi="Georgia"/>
          <w:color w:val="333333"/>
          <w:sz w:val="22"/>
          <w:szCs w:val="22"/>
        </w:rPr>
        <w:t xml:space="preserve">, encoding the topological integers directly.</w:t>
      </w:r>
    </w:p>
    <w:p>
      <w:pPr>
        <w:spacing w:before="60" w:after="60"/>
        <w:jc w:val="both"/>
      </w:pPr>
      <w:r>
        <w:rPr>
          <w:rFonts w:ascii="Georgia" w:cs="Georgia" w:eastAsia="Georgia" w:hAnsi="Georgia"/>
          <w:color w:val="333333"/>
          <w:sz w:val="22"/>
          <w:szCs w:val="22"/>
        </w:rPr>
        <w:t xml:space="preserve">The ratio 17/13 is absorbed into </w:t>
      </w:r>
      <w:r>
        <w:rPr>
          <w:rFonts w:ascii="Cambria Math" w:cs="Cambria Math" w:eastAsia="Cambria Math" w:hAnsi="Cambria Math"/>
          <w:color w:val="222222"/>
          <w:sz w:val="22"/>
          <w:szCs w:val="22"/>
        </w:rPr>
        <w:t xml:space="preserve">G</w:t>
      </w:r>
      <w:r>
        <w:rPr>
          <w:rFonts w:ascii="Georgia" w:cs="Georgia" w:eastAsia="Georgia" w:hAnsi="Georgia"/>
          <w:color w:val="333333"/>
          <w:sz w:val="22"/>
          <w:szCs w:val="22"/>
        </w:rPr>
        <w:t xml:space="preserve"> when measured in a terrestrial laboratory, where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μ ≈ 1</w:t>
      </w:r>
      <w:r>
        <w:rPr>
          <w:rFonts w:ascii="Georgia" w:cs="Georgia" w:eastAsia="Georgia" w:hAnsi="Georgia"/>
          <w:color w:val="333333"/>
          <w:sz w:val="22"/>
          <w:szCs w:val="22"/>
        </w:rPr>
        <w:t xml:space="preserve">. The Poisson equation in full topological form is:</w:t>
      </w:r>
    </w:p>
    <w:p>
      <w:pPr>
        <w:shd w:fill="F0F4F8" w:val="clear"/>
        <w:spacing w:before="160" w:after="160"/>
        <w:jc w:val="center"/>
      </w:pPr>
      <w:r>
        <w:rPr>
          <w:rFonts w:ascii="Cambria Math" w:cs="Cambria Math" w:eastAsia="Cambria Math" w:hAnsi="Cambria Math"/>
          <w:color w:val="1B2A4A"/>
          <w:sz w:val="24"/>
          <w:szCs w:val="24"/>
        </w:rPr>
        <w:t xml:space="preserve">∇²Φ = kπ · [f(0)/f(−1)] · G_{bare} · ρ = 4π · (17/13) · G_{bare} · ρ</w:t>
      </w:r>
    </w:p>
    <w:p>
      <w:pPr>
        <w:spacing w:before="60" w:after="60"/>
        <w:jc w:val="both"/>
      </w:pPr>
      <w:r>
        <w:rPr>
          <w:rFonts w:ascii="Georgia" w:cs="Georgia" w:eastAsia="Georgia" w:hAnsi="Georgia"/>
          <w:color w:val="333333"/>
          <w:sz w:val="22"/>
          <w:szCs w:val="22"/>
        </w:rPr>
        <w:t xml:space="preserve">This samples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 at exactly two fixed structural states: </w:t>
      </w:r>
      <w:r>
        <w:rPr>
          <w:rFonts w:ascii="Cambria Math" w:cs="Cambria Math" w:eastAsia="Cambria Math" w:hAnsi="Cambria Math"/>
          <w:color w:val="222222"/>
          <w:sz w:val="22"/>
          <w:szCs w:val="22"/>
        </w:rPr>
        <w:t xml:space="preserve">s = 0</w:t>
      </w:r>
      <w:r>
        <w:rPr>
          <w:rFonts w:ascii="Georgia" w:cs="Georgia" w:eastAsia="Georgia" w:hAnsi="Georgia"/>
          <w:color w:val="333333"/>
          <w:sz w:val="22"/>
          <w:szCs w:val="22"/>
        </w:rPr>
        <w:t xml:space="preserve"> (Field Origin) and </w:t>
      </w:r>
      <w:r>
        <w:rPr>
          <w:rFonts w:ascii="Cambria Math" w:cs="Cambria Math" w:eastAsia="Cambria Math" w:hAnsi="Cambria Math"/>
          <w:color w:val="222222"/>
          <w:sz w:val="22"/>
          <w:szCs w:val="22"/>
        </w:rPr>
        <w:t xml:space="preserve">s = −1</w:t>
      </w:r>
      <w:r>
        <w:rPr>
          <w:rFonts w:ascii="Georgia" w:cs="Georgia" w:eastAsia="Georgia" w:hAnsi="Georgia"/>
          <w:color w:val="333333"/>
          <w:sz w:val="22"/>
          <w:szCs w:val="22"/>
        </w:rPr>
        <w:t xml:space="preserve"> (spatial projection).</w:t>
      </w:r>
    </w:p>
    <w:p>
      <w:pPr>
        <w:pStyle w:val="Heading2"/>
        <w:spacing w:before="280" w:after="100"/>
      </w:pPr>
      <w:r>
        <w:rPr>
          <w:rFonts w:ascii="Georgia" w:cs="Georgia" w:eastAsia="Georgia" w:hAnsi="Georgia"/>
          <w:b/>
          <w:bCs/>
          <w:color w:val="2E5090"/>
          <w:sz w:val="26"/>
          <w:szCs w:val="26"/>
        </w:rPr>
        <w:t xml:space="preserve">8.2  The MOND Projection (Continuous)</w:t>
      </w:r>
    </w:p>
    <w:p>
      <w:pPr>
        <w:spacing w:before="60" w:after="60"/>
        <w:jc w:val="both"/>
      </w:pPr>
      <w:r>
        <w:rPr>
          <w:rFonts w:ascii="Georgia" w:cs="Georgia" w:eastAsia="Georgia" w:hAnsi="Georgia"/>
          <w:color w:val="333333"/>
          <w:sz w:val="22"/>
          <w:szCs w:val="22"/>
        </w:rPr>
        <w:t xml:space="preserve">The MOND field equation </w:t>
      </w:r>
      <w:r>
        <w:rPr>
          <w:rFonts w:ascii="Cambria Math" w:cs="Cambria Math" w:eastAsia="Cambria Math" w:hAnsi="Cambria Math"/>
          <w:color w:val="222222"/>
          <w:sz w:val="22"/>
          <w:szCs w:val="22"/>
        </w:rPr>
        <w:t xml:space="preserve">∇·[μ(g/a₀)∇Φ] = 4πGρ</w:t>
      </w:r>
      <w:r>
        <w:rPr>
          <w:rFonts w:ascii="Georgia" w:cs="Georgia" w:eastAsia="Georgia" w:hAnsi="Georgia"/>
          <w:color w:val="333333"/>
          <w:sz w:val="22"/>
          <w:szCs w:val="22"/>
        </w:rPr>
        <w:t xml:space="preserve"> does something fundamentally different. It evaluates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 continuously across all acceleration states through the Möbius map </w:t>
      </w:r>
      <w:r>
        <w:rPr>
          <w:rFonts w:ascii="Cambria Math" w:cs="Cambria Math" w:eastAsia="Cambria Math" w:hAnsi="Cambria Math"/>
          <w:color w:val="222222"/>
          <w:sz w:val="22"/>
          <w:szCs w:val="22"/>
        </w:rPr>
        <w:t xml:space="preserve">s(x) = (x−1)/(x+1)</w:t>
      </w:r>
      <w:r>
        <w:rPr>
          <w:rFonts w:ascii="Georgia" w:cs="Georgia" w:eastAsia="Georgia" w:hAnsi="Georgia"/>
          <w:color w:val="333333"/>
          <w:sz w:val="22"/>
          <w:szCs w:val="22"/>
        </w:rPr>
        <w:t xml:space="preserve">, then normalizes: </w:t>
      </w:r>
      <w:r>
        <w:rPr>
          <w:rFonts w:ascii="Cambria Math" w:cs="Cambria Math" w:eastAsia="Cambria Math" w:hAnsi="Cambria Math"/>
          <w:color w:val="222222"/>
          <w:sz w:val="22"/>
          <w:szCs w:val="22"/>
        </w:rPr>
        <w:t xml:space="preserve">μ = (f − 13)/8</w:t>
      </w:r>
      <w:r>
        <w:rPr>
          <w:rFonts w:ascii="Georgia" w:cs="Georgia" w:eastAsia="Georgia" w:hAnsi="Georgia"/>
          <w:color w:val="333333"/>
          <w:sz w:val="22"/>
          <w:szCs w:val="22"/>
        </w:rPr>
        <w:t xml:space="preserve">. Instead of sampling the polynomial at two fixed points, it sweeps through the entire range.</w:t>
      </w:r>
    </w:p>
    <w:p>
      <w:pPr>
        <w:spacing w:before="60" w:after="60"/>
        <w:jc w:val="both"/>
      </w:pPr>
      <w:r>
        <w:rPr>
          <w:rFonts w:ascii="Georgia" w:cs="Georgia" w:eastAsia="Georgia" w:hAnsi="Georgia"/>
          <w:color w:val="333333"/>
          <w:sz w:val="22"/>
          <w:szCs w:val="22"/>
        </w:rPr>
        <w:t xml:space="preserve">In spherical symmetry, the MOND equation reduces to </w:t>
      </w:r>
      <w:r>
        <w:rPr>
          <w:rFonts w:ascii="Cambria Math" w:cs="Cambria Math" w:eastAsia="Cambria Math" w:hAnsi="Cambria Math"/>
          <w:color w:val="222222"/>
          <w:sz w:val="22"/>
          <w:szCs w:val="22"/>
        </w:rPr>
        <w:t xml:space="preserve">μ · g = GM/r²</w:t>
      </w:r>
      <w:r>
        <w:rPr>
          <w:rFonts w:ascii="Georgia" w:cs="Georgia" w:eastAsia="Georgia" w:hAnsi="Georgia"/>
          <w:color w:val="333333"/>
          <w:sz w:val="22"/>
          <w:szCs w:val="22"/>
        </w:rPr>
        <w:t xml:space="preserve">. Substituting </w:t>
      </w:r>
      <w:r>
        <w:rPr>
          <w:rFonts w:ascii="Cambria Math" w:cs="Cambria Math" w:eastAsia="Cambria Math" w:hAnsi="Cambria Math"/>
          <w:color w:val="222222"/>
          <w:sz w:val="22"/>
          <w:szCs w:val="22"/>
        </w:rPr>
        <w:t xml:space="preserve">μ = x/(x+1)</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x = v²/(ra₀)</w:t>
      </w:r>
      <w:r>
        <w:rPr>
          <w:rFonts w:ascii="Georgia" w:cs="Georgia" w:eastAsia="Georgia" w:hAnsi="Georgia"/>
          <w:color w:val="333333"/>
          <w:sz w:val="22"/>
          <w:szCs w:val="22"/>
        </w:rPr>
        <w:t xml:space="preserve"> gives, after elementary algebra:</w:t>
      </w:r>
    </w:p>
    <w:p>
      <w:pPr>
        <w:shd w:fill="F0F4F8" w:val="clear"/>
        <w:spacing w:before="160" w:after="160"/>
        <w:jc w:val="center"/>
      </w:pPr>
      <w:r>
        <w:rPr>
          <w:rFonts w:ascii="Cambria Math" w:cs="Cambria Math" w:eastAsia="Cambria Math" w:hAnsi="Cambria Math"/>
          <w:color w:val="1B2A4A"/>
          <w:sz w:val="24"/>
          <w:szCs w:val="24"/>
        </w:rPr>
        <w:t xml:space="preserve">v⁴ = GM · (g + a₀)</w:t>
      </w:r>
    </w:p>
    <w:p>
      <w:pPr>
        <w:spacing w:before="60" w:after="60"/>
        <w:jc w:val="both"/>
      </w:pPr>
      <w:r>
        <w:rPr>
          <w:rFonts w:ascii="Georgia" w:cs="Georgia" w:eastAsia="Georgia" w:hAnsi="Georgia"/>
          <w:color w:val="333333"/>
          <w:sz w:val="22"/>
          <w:szCs w:val="22"/>
        </w:rPr>
        <w:t xml:space="preserve">This is the local field equation of GFD. The MOND Poisson equation and the local field equation are algebraically identical. The mass decode formula </w:t>
      </w:r>
      <w:r>
        <w:rPr>
          <w:rFonts w:ascii="Cambria Math" w:cs="Cambria Math" w:eastAsia="Cambria Math" w:hAnsi="Cambria Math"/>
          <w:color w:val="222222"/>
          <w:sz w:val="22"/>
          <w:szCs w:val="22"/>
        </w:rPr>
        <w:t xml:space="preserve">M = rv⁴/[G(a₀r + v²)]</w:t>
      </w:r>
      <w:r>
        <w:rPr>
          <w:rFonts w:ascii="Georgia" w:cs="Georgia" w:eastAsia="Georgia" w:hAnsi="Georgia"/>
          <w:color w:val="333333"/>
          <w:sz w:val="22"/>
          <w:szCs w:val="22"/>
        </w:rPr>
        <w:t xml:space="preserve"> follows immediately — a closed-form expression that extracts baryonic mass from observed kinematics without assuming a mass model.</w:t>
      </w:r>
    </w:p>
    <w:p>
      <w:pPr>
        <w:pStyle w:val="Heading2"/>
        <w:spacing w:before="280" w:after="100"/>
      </w:pPr>
      <w:r>
        <w:rPr>
          <w:rFonts w:ascii="Georgia" w:cs="Georgia" w:eastAsia="Georgia" w:hAnsi="Georgia"/>
          <w:b/>
          <w:bCs/>
          <w:color w:val="2E5090"/>
          <w:sz w:val="26"/>
          <w:szCs w:val="26"/>
        </w:rPr>
        <w:t xml:space="preserve">8.3  The Duality</w:t>
      </w:r>
    </w:p>
    <w:p>
      <w:pPr>
        <w:spacing w:before="60" w:after="60"/>
        <w:jc w:val="both"/>
      </w:pPr>
      <w:r>
        <w:rPr>
          <w:rFonts w:ascii="Georgia" w:cs="Georgia" w:eastAsia="Georgia" w:hAnsi="Georgia"/>
          <w:color w:val="333333"/>
          <w:sz w:val="22"/>
          <w:szCs w:val="22"/>
        </w:rPr>
        <w:t xml:space="preserve">The Poisson equation is </w:t>
      </w:r>
      <w:r>
        <w:rPr>
          <w:rFonts w:ascii="Georgia" w:cs="Georgia" w:eastAsia="Georgia" w:hAnsi="Georgia"/>
          <w:i/>
          <w:iCs/>
          <w:color w:val="333333"/>
          <w:sz w:val="22"/>
          <w:szCs w:val="22"/>
        </w:rPr>
        <w:t xml:space="preserve">contained within</w:t>
      </w:r>
      <w:r>
        <w:rPr>
          <w:rFonts w:ascii="Georgia" w:cs="Georgia" w:eastAsia="Georgia" w:hAnsi="Georgia"/>
          <w:color w:val="333333"/>
          <w:sz w:val="22"/>
          <w:szCs w:val="22"/>
        </w:rPr>
        <w:t xml:space="preserve"> μ as its boundary values: at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(Field Origin), </w:t>
      </w:r>
      <w:r>
        <w:rPr>
          <w:rFonts w:ascii="Cambria Math" w:cs="Cambria Math" w:eastAsia="Cambria Math" w:hAnsi="Cambria Math"/>
          <w:color w:val="222222"/>
          <w:sz w:val="22"/>
          <w:szCs w:val="22"/>
        </w:rPr>
        <w:t xml:space="preserve">f = 17</w:t>
      </w:r>
      <w:r>
        <w:rPr>
          <w:rFonts w:ascii="Georgia" w:cs="Georgia" w:eastAsia="Georgia" w:hAnsi="Georgia"/>
          <w:color w:val="333333"/>
          <w:sz w:val="22"/>
          <w:szCs w:val="22"/>
        </w:rPr>
        <w:t xml:space="preserve"> (the Poisson numerator); at </w:t>
      </w:r>
      <w:r>
        <w:rPr>
          <w:rFonts w:ascii="Cambria Math" w:cs="Cambria Math" w:eastAsia="Cambria Math" w:hAnsi="Cambria Math"/>
          <w:color w:val="222222"/>
          <w:sz w:val="22"/>
          <w:szCs w:val="22"/>
        </w:rPr>
        <w:t xml:space="preserve">x → 0</w:t>
      </w:r>
      <w:r>
        <w:rPr>
          <w:rFonts w:ascii="Georgia" w:cs="Georgia" w:eastAsia="Georgia" w:hAnsi="Georgia"/>
          <w:color w:val="333333"/>
          <w:sz w:val="22"/>
          <w:szCs w:val="22"/>
        </w:rPr>
        <w:t xml:space="preserve"> (spatial), </w:t>
      </w:r>
      <w:r>
        <w:rPr>
          <w:rFonts w:ascii="Cambria Math" w:cs="Cambria Math" w:eastAsia="Cambria Math" w:hAnsi="Cambria Math"/>
          <w:color w:val="222222"/>
          <w:sz w:val="22"/>
          <w:szCs w:val="22"/>
        </w:rPr>
        <w:t xml:space="preserve">f → 13</w:t>
      </w:r>
      <w:r>
        <w:rPr>
          <w:rFonts w:ascii="Georgia" w:cs="Georgia" w:eastAsia="Georgia" w:hAnsi="Georgia"/>
          <w:color w:val="333333"/>
          <w:sz w:val="22"/>
          <w:szCs w:val="22"/>
        </w:rPr>
        <w:t xml:space="preserve"> (the Poisson denominator). The constitutive law </w:t>
      </w:r>
      <w:r>
        <w:rPr>
          <w:rFonts w:ascii="Georgia" w:cs="Georgia" w:eastAsia="Georgia" w:hAnsi="Georgia"/>
          <w:i/>
          <w:iCs/>
          <w:color w:val="333333"/>
          <w:sz w:val="22"/>
          <w:szCs w:val="22"/>
        </w:rPr>
        <w:t xml:space="preserve">extends</w:t>
      </w:r>
      <w:r>
        <w:rPr>
          <w:rFonts w:ascii="Georgia" w:cs="Georgia" w:eastAsia="Georgia" w:hAnsi="Georgia"/>
          <w:color w:val="333333"/>
          <w:sz w:val="22"/>
          <w:szCs w:val="22"/>
        </w:rPr>
        <w:t xml:space="preserve"> the Poisson equation to all intermediate states. Together they form the complete field description: one polynomial, two projections, zero free parameters.</w:t>
      </w:r>
    </w:p>
    <w:p>
      <w:pPr>
        <w:pStyle w:val="Heading1"/>
        <w:spacing w:before="400" w:after="140"/>
      </w:pPr>
      <w:r>
        <w:rPr>
          <w:rFonts w:ascii="Georgia" w:cs="Georgia" w:eastAsia="Georgia" w:hAnsi="Georgia"/>
          <w:b/>
          <w:bCs/>
          <w:color w:val="1B2A4A"/>
          <w:sz w:val="32"/>
          <w:szCs w:val="32"/>
        </w:rPr>
        <w:t xml:space="preserve">9.  Why MOND Works</w:t>
      </w:r>
    </w:p>
    <w:p>
      <w:pPr>
        <w:spacing w:before="60" w:after="60"/>
        <w:jc w:val="both"/>
      </w:pPr>
      <w:r>
        <w:rPr>
          <w:rFonts w:ascii="Georgia" w:cs="Georgia" w:eastAsia="Georgia" w:hAnsi="Georgia"/>
          <w:color w:val="333333"/>
          <w:sz w:val="22"/>
          <w:szCs w:val="22"/>
        </w:rPr>
        <w:t xml:space="preserve">In 1983, Milgrom introduced Modified Newtonian Dynamics by postulating that Newton’s second law or the Poisson equation should be modified below a characteristic acceleration scale </w:t>
      </w:r>
      <w:r>
        <w:rPr>
          <w:rFonts w:ascii="Cambria Math" w:cs="Cambria Math" w:eastAsia="Cambria Math" w:hAnsi="Cambria Math"/>
          <w:color w:val="222222"/>
          <w:sz w:val="22"/>
          <w:szCs w:val="22"/>
        </w:rPr>
        <w:t xml:space="preserve">a₀ ≈ 1.2 × 10⁻¹⁰ m/s²</w:t>
      </w:r>
      <w:r>
        <w:rPr>
          <w:rFonts w:ascii="Georgia" w:cs="Georgia" w:eastAsia="Georgia" w:hAnsi="Georgia"/>
          <w:color w:val="333333"/>
          <w:sz w:val="22"/>
          <w:szCs w:val="22"/>
        </w:rPr>
        <w:t xml:space="preserve">. The modification was encoded in an interpolation function </w:t>
      </w:r>
      <w:r>
        <w:rPr>
          <w:rFonts w:ascii="Cambria Math" w:cs="Cambria Math" w:eastAsia="Cambria Math" w:hAnsi="Cambria Math"/>
          <w:color w:val="222222"/>
          <w:sz w:val="22"/>
          <w:szCs w:val="22"/>
        </w:rPr>
        <w:t xml:space="preserve">μ(x)</w:t>
      </w:r>
      <w:r>
        <w:rPr>
          <w:rFonts w:ascii="Georgia" w:cs="Georgia" w:eastAsia="Georgia" w:hAnsi="Georgia"/>
          <w:color w:val="333333"/>
          <w:sz w:val="22"/>
          <w:szCs w:val="22"/>
        </w:rPr>
        <w:t xml:space="preserve">, required only to satisfy </w:t>
      </w:r>
      <w:r>
        <w:rPr>
          <w:rFonts w:ascii="Cambria Math" w:cs="Cambria Math" w:eastAsia="Cambria Math" w:hAnsi="Cambria Math"/>
          <w:color w:val="222222"/>
          <w:sz w:val="22"/>
          <w:szCs w:val="22"/>
        </w:rPr>
        <w:t xml:space="preserve">μ → 1</w:t>
      </w:r>
      <w:r>
        <w:rPr>
          <w:rFonts w:ascii="Georgia" w:cs="Georgia" w:eastAsia="Georgia" w:hAnsi="Georgia"/>
          <w:color w:val="333333"/>
          <w:sz w:val="22"/>
          <w:szCs w:val="22"/>
        </w:rPr>
        <w:t xml:space="preserve"> for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μ → x</w:t>
      </w:r>
      <w:r>
        <w:rPr>
          <w:rFonts w:ascii="Georgia" w:cs="Georgia" w:eastAsia="Georgia" w:hAnsi="Georgia"/>
          <w:color w:val="333333"/>
          <w:sz w:val="22"/>
          <w:szCs w:val="22"/>
        </w:rPr>
        <w:t xml:space="preserve"> for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Multiple candidates were proposed:</w:t>
      </w:r>
    </w:p>
    <w:p>
      <w:pPr>
        <w:spacing w:before="60" w:after="60"/>
        <w:jc w:val="both"/>
      </w:pPr>
      <w:r>
        <w:rPr>
          <w:rFonts w:ascii="Georgia" w:cs="Georgia" w:eastAsia="Georgia" w:hAnsi="Georgia"/>
          <w:color w:val="333333"/>
          <w:sz w:val="22"/>
          <w:szCs w:val="22"/>
        </w:rPr>
        <w:t xml:space="preserve">The “standard” form </w:t>
      </w:r>
      <w:r>
        <w:rPr>
          <w:rFonts w:ascii="Cambria Math" w:cs="Cambria Math" w:eastAsia="Cambria Math" w:hAnsi="Cambria Math"/>
          <w:color w:val="222222"/>
          <w:sz w:val="22"/>
          <w:szCs w:val="22"/>
        </w:rPr>
        <w:t xml:space="preserve">μ = x/√(1+x²)</w:t>
      </w:r>
      <w:r>
        <w:rPr>
          <w:rFonts w:ascii="Georgia" w:cs="Georgia" w:eastAsia="Georgia" w:hAnsi="Georgia"/>
          <w:color w:val="333333"/>
          <w:sz w:val="22"/>
          <w:szCs w:val="22"/>
        </w:rPr>
        <w:t xml:space="preserve">; the “simple” form </w:t>
      </w:r>
      <w:r>
        <w:rPr>
          <w:rFonts w:ascii="Cambria Math" w:cs="Cambria Math" w:eastAsia="Cambria Math" w:hAnsi="Cambria Math"/>
          <w:color w:val="222222"/>
          <w:sz w:val="22"/>
          <w:szCs w:val="22"/>
        </w:rPr>
        <w:t xml:space="preserve">μ = x/(1+x)</w:t>
      </w:r>
      <w:r>
        <w:rPr>
          <w:rFonts w:ascii="Georgia" w:cs="Georgia" w:eastAsia="Georgia" w:hAnsi="Georgia"/>
          <w:color w:val="333333"/>
          <w:sz w:val="22"/>
          <w:szCs w:val="22"/>
        </w:rPr>
        <w:t xml:space="preserve">; the RAR form </w:t>
      </w:r>
      <w:r>
        <w:rPr>
          <w:rFonts w:ascii="Cambria Math" w:cs="Cambria Math" w:eastAsia="Cambria Math" w:hAnsi="Cambria Math"/>
          <w:color w:val="222222"/>
          <w:sz w:val="22"/>
          <w:szCs w:val="22"/>
        </w:rPr>
        <w:t xml:space="preserve">μ = 1 − e^(−√x)</w:t>
      </w:r>
      <w:r>
        <w:rPr>
          <w:rFonts w:ascii="Georgia" w:cs="Georgia" w:eastAsia="Georgia" w:hAnsi="Georgia"/>
          <w:color w:val="333333"/>
          <w:sz w:val="22"/>
          <w:szCs w:val="22"/>
        </w:rPr>
        <w:t xml:space="preserve"> (McGaugh 2016); and the </w:t>
      </w:r>
      <w:r>
        <w:rPr>
          <w:rFonts w:ascii="Cambria Math" w:cs="Cambria Math" w:eastAsia="Cambria Math" w:hAnsi="Cambria Math"/>
          <w:color w:val="222222"/>
          <w:sz w:val="22"/>
          <w:szCs w:val="22"/>
        </w:rPr>
        <w:t xml:space="preserve">n</w:t>
      </w:r>
      <w:r>
        <w:rPr>
          <w:rFonts w:ascii="Georgia" w:cs="Georgia" w:eastAsia="Georgia" w:hAnsi="Georgia"/>
          <w:color w:val="333333"/>
          <w:sz w:val="22"/>
          <w:szCs w:val="22"/>
        </w:rPr>
        <w:t xml:space="preserve">-family </w:t>
      </w:r>
      <w:r>
        <w:rPr>
          <w:rFonts w:ascii="Cambria Math" w:cs="Cambria Math" w:eastAsia="Cambria Math" w:hAnsi="Cambria Math"/>
          <w:color w:val="222222"/>
          <w:sz w:val="22"/>
          <w:szCs w:val="22"/>
        </w:rPr>
        <w:t xml:space="preserve">μ = x/(1+x)^{1/n}</w:t>
      </w:r>
      <w:r>
        <w:rPr>
          <w:rFonts w:ascii="Georgia" w:cs="Georgia" w:eastAsia="Georgia" w:hAnsi="Georgia"/>
          <w:color w:val="333333"/>
          <w:sz w:val="22"/>
          <w:szCs w:val="22"/>
        </w:rPr>
        <w:t xml:space="preserve">. All satisfy the asymptotic limits. But they differ at the transition, and the data progressively favoured the simple form.</w:t>
      </w:r>
    </w:p>
    <w:p>
      <w:pPr>
        <w:spacing w:before="60" w:after="60"/>
        <w:jc w:val="both"/>
      </w:pPr>
      <w:r>
        <w:rPr>
          <w:rFonts w:ascii="Georgia" w:cs="Georgia" w:eastAsia="Georgia" w:hAnsi="Georgia"/>
          <w:color w:val="333333"/>
          <w:sz w:val="22"/>
          <w:szCs w:val="22"/>
        </w:rPr>
        <w:t xml:space="preserve">GFD explains why. The simple form </w:t>
      </w:r>
      <w:r>
        <w:rPr>
          <w:rFonts w:ascii="Cambria Math" w:cs="Cambria Math" w:eastAsia="Cambria Math" w:hAnsi="Cambria Math"/>
          <w:color w:val="222222"/>
          <w:sz w:val="22"/>
          <w:szCs w:val="22"/>
        </w:rPr>
        <w:t xml:space="preserve">x/(x+1)</w:t>
      </w:r>
      <w:r>
        <w:rPr>
          <w:rFonts w:ascii="Georgia" w:cs="Georgia" w:eastAsia="Georgia" w:hAnsi="Georgia"/>
          <w:color w:val="333333"/>
          <w:sz w:val="22"/>
          <w:szCs w:val="22"/>
        </w:rPr>
        <w:t xml:space="preserve"> is not merely a good empirical fit. It is the </w:t>
      </w:r>
      <w:r>
        <w:rPr>
          <w:rFonts w:ascii="Georgia" w:cs="Georgia" w:eastAsia="Georgia" w:hAnsi="Georgia"/>
          <w:i/>
          <w:iCs/>
          <w:color w:val="333333"/>
          <w:sz w:val="22"/>
          <w:szCs w:val="22"/>
        </w:rPr>
        <w:t xml:space="preserve">unique</w:t>
      </w:r>
      <w:r>
        <w:rPr>
          <w:rFonts w:ascii="Georgia" w:cs="Georgia" w:eastAsia="Georgia" w:hAnsi="Georgia"/>
          <w:color w:val="333333"/>
          <w:sz w:val="22"/>
          <w:szCs w:val="22"/>
        </w:rPr>
        <w:t xml:space="preserve"> constitutive law that emerges from the coupling polynomial of the stellated octahedron, and it possesses a suite of structural properties that no other candidate shares:</w:t>
      </w:r>
    </w:p>
    <w:p>
      <w:pPr>
        <w:spacing w:before="60" w:after="60"/>
        <w:jc w:val="both"/>
      </w:pPr>
      <w:r>
        <w:rPr>
          <w:rFonts w:ascii="Georgia" w:cs="Georgia" w:eastAsia="Georgia" w:hAnsi="Georgia"/>
          <w:b/>
          <w:bCs/>
          <w:color w:val="333333"/>
          <w:sz w:val="22"/>
          <w:szCs w:val="22"/>
        </w:rPr>
        <w:t xml:space="preserve">Langmuir saturation from topology. </w:t>
      </w:r>
      <w:r>
        <w:rPr>
          <w:rFonts w:ascii="Georgia" w:cs="Georgia" w:eastAsia="Georgia" w:hAnsi="Georgia"/>
          <w:color w:val="333333"/>
          <w:sz w:val="22"/>
          <w:szCs w:val="22"/>
        </w:rPr>
        <w:t xml:space="preserve">The single Field Origin (</w:t>
      </w:r>
      <w:r>
        <w:rPr>
          <w:rFonts w:ascii="Cambria Math" w:cs="Cambria Math" w:eastAsia="Cambria Math" w:hAnsi="Cambria Math"/>
          <w:color w:val="222222"/>
          <w:sz w:val="22"/>
          <w:szCs w:val="22"/>
        </w:rPr>
        <w:t xml:space="preserve">k⁰ = 1</w:t>
      </w:r>
      <w:r>
        <w:rPr>
          <w:rFonts w:ascii="Georgia" w:cs="Georgia" w:eastAsia="Georgia" w:hAnsi="Georgia"/>
          <w:color w:val="333333"/>
          <w:sz w:val="22"/>
          <w:szCs w:val="22"/>
        </w:rPr>
        <w:t xml:space="preserve">) produces </w:t>
      </w:r>
      <w:r>
        <w:rPr>
          <w:rFonts w:ascii="Cambria Math" w:cs="Cambria Math" w:eastAsia="Cambria Math" w:hAnsi="Cambria Math"/>
          <w:color w:val="222222"/>
          <w:sz w:val="22"/>
          <w:szCs w:val="22"/>
        </w:rPr>
        <w:t xml:space="preserve">n = 1</w:t>
      </w:r>
      <w:r>
        <w:rPr>
          <w:rFonts w:ascii="Georgia" w:cs="Georgia" w:eastAsia="Georgia" w:hAnsi="Georgia"/>
          <w:color w:val="333333"/>
          <w:sz w:val="22"/>
          <w:szCs w:val="22"/>
        </w:rPr>
        <w:t xml:space="preserve"> Langmuir kinetics. Other candidates (the standard form, the RAR form) have no connection to surface kinetics; their functional forms are chosen for mathematical convenience.</w:t>
      </w:r>
    </w:p>
    <w:p>
      <w:pPr>
        <w:spacing w:before="60" w:after="60"/>
        <w:jc w:val="both"/>
      </w:pPr>
      <w:r>
        <w:rPr>
          <w:rFonts w:ascii="Georgia" w:cs="Georgia" w:eastAsia="Georgia" w:hAnsi="Georgia"/>
          <w:b/>
          <w:bCs/>
          <w:color w:val="333333"/>
          <w:sz w:val="22"/>
          <w:szCs w:val="22"/>
        </w:rPr>
        <w:t xml:space="preserve">Algebraic Möbius inverse. </w:t>
      </w:r>
      <w:r>
        <w:rPr>
          <w:rFonts w:ascii="Georgia" w:cs="Georgia" w:eastAsia="Georgia" w:hAnsi="Georgia"/>
          <w:color w:val="333333"/>
          <w:sz w:val="22"/>
          <w:szCs w:val="22"/>
        </w:rPr>
        <w:t xml:space="preserve">The inverse </w:t>
      </w:r>
      <w:r>
        <w:rPr>
          <w:rFonts w:ascii="Cambria Math" w:cs="Cambria Math" w:eastAsia="Cambria Math" w:hAnsi="Cambria Math"/>
          <w:color w:val="222222"/>
          <w:sz w:val="22"/>
          <w:szCs w:val="22"/>
        </w:rPr>
        <w:t xml:space="preserve">x = μ/(1−μ)</w:t>
      </w:r>
      <w:r>
        <w:rPr>
          <w:rFonts w:ascii="Georgia" w:cs="Georgia" w:eastAsia="Georgia" w:hAnsi="Georgia"/>
          <w:color w:val="333333"/>
          <w:sz w:val="22"/>
          <w:szCs w:val="22"/>
        </w:rPr>
        <w:t xml:space="preserve"> is a Möbius transformation, making the mass decode formula exact and closed-form. The standard form’s inverse involves a square root; the RAR form’s inverse involves a logarithm. Neither is algebraic.</w:t>
      </w:r>
    </w:p>
    <w:p>
      <w:pPr>
        <w:spacing w:before="60" w:after="60"/>
        <w:jc w:val="both"/>
      </w:pPr>
      <w:r>
        <w:rPr>
          <w:rFonts w:ascii="Georgia" w:cs="Georgia" w:eastAsia="Georgia" w:hAnsi="Georgia"/>
          <w:b/>
          <w:bCs/>
          <w:color w:val="333333"/>
          <w:sz w:val="22"/>
          <w:szCs w:val="22"/>
        </w:rPr>
        <w:t xml:space="preserve">Screening as identity. </w:t>
      </w:r>
      <w:r>
        <w:rPr>
          <w:rFonts w:ascii="Georgia" w:cs="Georgia" w:eastAsia="Georgia" w:hAnsi="Georgia"/>
          <w:color w:val="333333"/>
          <w:sz w:val="22"/>
          <w:szCs w:val="22"/>
        </w:rPr>
        <w:t xml:space="preserve">The equation </w:t>
      </w:r>
      <w:r>
        <w:rPr>
          <w:rFonts w:ascii="Cambria Math" w:cs="Cambria Math" w:eastAsia="Cambria Math" w:hAnsi="Cambria Math"/>
          <w:color w:val="222222"/>
          <w:sz w:val="22"/>
          <w:szCs w:val="22"/>
        </w:rPr>
        <w:t xml:space="preserve">x(1−μ) = μ</w:t>
      </w:r>
      <w:r>
        <w:rPr>
          <w:rFonts w:ascii="Georgia" w:cs="Georgia" w:eastAsia="Georgia" w:hAnsi="Georgia"/>
          <w:color w:val="333333"/>
          <w:sz w:val="22"/>
          <w:szCs w:val="22"/>
        </w:rPr>
        <w:t xml:space="preserve"> is an algebraic identity of the normalization, not a constraint to be solved. For other candidates, the screening equation is a transcendental equation requiring numerical solution.</w:t>
      </w:r>
    </w:p>
    <w:p>
      <w:pPr>
        <w:spacing w:before="60" w:after="60"/>
        <w:jc w:val="both"/>
      </w:pPr>
      <w:r>
        <w:rPr>
          <w:rFonts w:ascii="Georgia" w:cs="Georgia" w:eastAsia="Georgia" w:hAnsi="Georgia"/>
          <w:b/>
          <w:bCs/>
          <w:color w:val="333333"/>
          <w:sz w:val="22"/>
          <w:szCs w:val="22"/>
        </w:rPr>
        <w:t xml:space="preserve">Closed-form kinetic functional. </w:t>
      </w:r>
      <w:r>
        <w:rPr>
          <w:rFonts w:ascii="Georgia" w:cs="Georgia" w:eastAsia="Georgia" w:hAnsi="Georgia"/>
          <w:color w:val="333333"/>
          <w:sz w:val="22"/>
          <w:szCs w:val="22"/>
        </w:rPr>
        <w:t xml:space="preserve">The Bekenstein–Milgrom action requires </w:t>
      </w:r>
      <w:r>
        <w:rPr>
          <w:rFonts w:ascii="Cambria Math" w:cs="Cambria Math" w:eastAsia="Cambria Math" w:hAnsi="Cambria Math"/>
          <w:color w:val="222222"/>
          <w:sz w:val="22"/>
          <w:szCs w:val="22"/>
        </w:rPr>
        <w:t xml:space="preserve">F(y)</w:t>
      </w:r>
      <w:r>
        <w:rPr>
          <w:rFonts w:ascii="Georgia" w:cs="Georgia" w:eastAsia="Georgia" w:hAnsi="Georgia"/>
          <w:color w:val="333333"/>
          <w:sz w:val="22"/>
          <w:szCs w:val="22"/>
        </w:rPr>
        <w:t xml:space="preserve"> satisfying </w:t>
      </w:r>
      <w:r>
        <w:rPr>
          <w:rFonts w:ascii="Cambria Math" w:cs="Cambria Math" w:eastAsia="Cambria Math" w:hAnsi="Cambria Math"/>
          <w:color w:val="222222"/>
          <w:sz w:val="22"/>
          <w:szCs w:val="22"/>
        </w:rPr>
        <w:t xml:space="preserve">dF/dy = μ(√y)</w:t>
      </w:r>
      <w:r>
        <w:rPr>
          <w:rFonts w:ascii="Georgia" w:cs="Georgia" w:eastAsia="Georgia" w:hAnsi="Georgia"/>
          <w:color w:val="333333"/>
          <w:sz w:val="22"/>
          <w:szCs w:val="22"/>
        </w:rPr>
        <w:t xml:space="preserve">. Only </w:t>
      </w:r>
      <w:r>
        <w:rPr>
          <w:rFonts w:ascii="Cambria Math" w:cs="Cambria Math" w:eastAsia="Cambria Math" w:hAnsi="Cambria Math"/>
          <w:color w:val="222222"/>
          <w:sz w:val="22"/>
          <w:szCs w:val="22"/>
        </w:rPr>
        <w:t xml:space="preserve">x/(x+1)</w:t>
      </w:r>
      <w:r>
        <w:rPr>
          <w:rFonts w:ascii="Georgia" w:cs="Georgia" w:eastAsia="Georgia" w:hAnsi="Georgia"/>
          <w:color w:val="333333"/>
          <w:sz w:val="22"/>
          <w:szCs w:val="22"/>
        </w:rPr>
        <w:t xml:space="preserve"> gives a closed form: </w:t>
      </w:r>
      <w:r>
        <w:rPr>
          <w:rFonts w:ascii="Cambria Math" w:cs="Cambria Math" w:eastAsia="Cambria Math" w:hAnsi="Cambria Math"/>
          <w:color w:val="222222"/>
          <w:sz w:val="22"/>
          <w:szCs w:val="22"/>
        </w:rPr>
        <w:t xml:space="preserve">F(y) = y − 2√y + 2·ln(1+√y)</w:t>
      </w:r>
      <w:r>
        <w:rPr>
          <w:rFonts w:ascii="Georgia" w:cs="Georgia" w:eastAsia="Georgia" w:hAnsi="Georgia"/>
          <w:color w:val="333333"/>
          <w:sz w:val="22"/>
          <w:szCs w:val="22"/>
        </w:rPr>
        <w:t xml:space="preserve">. Other candidates require numerical quadrature.</w:t>
      </w:r>
    </w:p>
    <w:p>
      <w:pPr>
        <w:spacing w:before="60" w:after="60"/>
        <w:jc w:val="both"/>
      </w:pPr>
      <w:r>
        <w:rPr>
          <w:rFonts w:ascii="Georgia" w:cs="Georgia" w:eastAsia="Georgia" w:hAnsi="Georgia"/>
          <w:b/>
          <w:bCs/>
          <w:color w:val="333333"/>
          <w:sz w:val="22"/>
          <w:szCs w:val="22"/>
        </w:rPr>
        <w:t xml:space="preserve">Complement symmetry. </w:t>
      </w:r>
      <w:r>
        <w:rPr>
          <w:rFonts w:ascii="Cambria Math" w:cs="Cambria Math" w:eastAsia="Cambria Math" w:hAnsi="Cambria Math"/>
          <w:color w:val="222222"/>
          <w:sz w:val="22"/>
          <w:szCs w:val="22"/>
        </w:rPr>
        <w:t xml:space="preserve">μ(x) + μ(1/x) = 1</w:t>
      </w:r>
      <w:r>
        <w:rPr>
          <w:rFonts w:ascii="Georgia" w:cs="Georgia" w:eastAsia="Georgia" w:hAnsi="Georgia"/>
          <w:color w:val="333333"/>
          <w:sz w:val="22"/>
          <w:szCs w:val="22"/>
        </w:rPr>
        <w:t xml:space="preserve"> for all </w:t>
      </w:r>
      <w:r>
        <w:rPr>
          <w:rFonts w:ascii="Cambria Math" w:cs="Cambria Math" w:eastAsia="Cambria Math" w:hAnsi="Cambria Math"/>
          <w:color w:val="222222"/>
          <w:sz w:val="22"/>
          <w:szCs w:val="22"/>
        </w:rPr>
        <w:t xml:space="preserve">x &gt; 0</w:t>
      </w:r>
      <w:r>
        <w:rPr>
          <w:rFonts w:ascii="Georgia" w:cs="Georgia" w:eastAsia="Georgia" w:hAnsi="Georgia"/>
          <w:color w:val="333333"/>
          <w:sz w:val="22"/>
          <w:szCs w:val="22"/>
        </w:rPr>
        <w:t xml:space="preserve">. This expresses TetA/TetB exchange duality. The standard and RAR forms do not satisfy this identity.</w:t>
      </w:r>
    </w:p>
    <w:p>
      <w:pPr>
        <w:spacing w:before="60" w:after="60"/>
        <w:jc w:val="both"/>
      </w:pPr>
      <w:r>
        <w:rPr>
          <w:rFonts w:ascii="Georgia" w:cs="Georgia" w:eastAsia="Georgia" w:hAnsi="Georgia"/>
          <w:b/>
          <w:bCs/>
          <w:color w:val="333333"/>
          <w:sz w:val="22"/>
          <w:szCs w:val="22"/>
        </w:rPr>
        <w:t xml:space="preserve">Round-trip invertibility. </w:t>
      </w:r>
      <w:r>
        <w:rPr>
          <w:rFonts w:ascii="Georgia" w:cs="Georgia" w:eastAsia="Georgia" w:hAnsi="Georgia"/>
          <w:color w:val="333333"/>
          <w:sz w:val="22"/>
          <w:szCs w:val="22"/>
        </w:rPr>
        <w:t xml:space="preserve">Given either the TetA (baryonic) or TetB (field) velocity curve, the other is recoverable exactly to machine precision. The bijective character of μ enables a unique dark-to-bright mapping for every galaxy.</w:t>
      </w:r>
    </w:p>
    <w:p>
      <w:pPr>
        <w:spacing w:before="60" w:after="60"/>
        <w:jc w:val="both"/>
      </w:pPr>
      <w:r>
        <w:rPr>
          <w:rFonts w:ascii="Georgia" w:cs="Georgia" w:eastAsia="Georgia" w:hAnsi="Georgia"/>
          <w:color w:val="333333"/>
          <w:sz w:val="22"/>
          <w:szCs w:val="22"/>
        </w:rPr>
        <w:t xml:space="preserve">MOND works because Milgrom’s asymptotic constraints </w:t>
      </w:r>
      <w:r>
        <w:rPr>
          <w:rFonts w:ascii="Cambria Math" w:cs="Cambria Math" w:eastAsia="Cambria Math" w:hAnsi="Cambria Math"/>
          <w:color w:val="222222"/>
          <w:sz w:val="22"/>
          <w:szCs w:val="22"/>
        </w:rPr>
        <w:t xml:space="preserve">(μ → 1, μ → x)</w:t>
      </w:r>
      <w:r>
        <w:rPr>
          <w:rFonts w:ascii="Georgia" w:cs="Georgia" w:eastAsia="Georgia" w:hAnsi="Georgia"/>
          <w:color w:val="333333"/>
          <w:sz w:val="22"/>
          <w:szCs w:val="22"/>
        </w:rPr>
        <w:t xml:space="preserve"> are necessary conditions that any correct interpolation function must satisfy. The simple form happens to be the </w:t>
      </w:r>
      <w:r>
        <w:rPr>
          <w:rFonts w:ascii="Georgia" w:cs="Georgia" w:eastAsia="Georgia" w:hAnsi="Georgia"/>
          <w:i/>
          <w:iCs/>
          <w:color w:val="333333"/>
          <w:sz w:val="22"/>
          <w:szCs w:val="22"/>
        </w:rPr>
        <w:t xml:space="preserve">unique</w:t>
      </w:r>
      <w:r>
        <w:rPr>
          <w:rFonts w:ascii="Georgia" w:cs="Georgia" w:eastAsia="Georgia" w:hAnsi="Georgia"/>
          <w:color w:val="333333"/>
          <w:sz w:val="22"/>
          <w:szCs w:val="22"/>
        </w:rPr>
        <w:t xml:space="preserve"> function satisfying all six structural properties above, and these properties are consequences of the stellated octahedron’s topology. MOND works because the phenomenological constraints select the topologically correct function.</w:t>
      </w:r>
    </w:p>
    <w:p>
      <w:pPr>
        <w:pStyle w:val="Heading1"/>
        <w:spacing w:before="400" w:after="140"/>
      </w:pPr>
      <w:r>
        <w:rPr>
          <w:rFonts w:ascii="Georgia" w:cs="Georgia" w:eastAsia="Georgia" w:hAnsi="Georgia"/>
          <w:b/>
          <w:bCs/>
          <w:color w:val="1B2A4A"/>
          <w:sz w:val="32"/>
          <w:szCs w:val="32"/>
        </w:rPr>
        <w:t xml:space="preserve">10.  Scale Invariance: From Atoms to Galaxies</w:t>
      </w:r>
    </w:p>
    <w:p>
      <w:pPr>
        <w:spacing w:before="60" w:after="60"/>
        <w:jc w:val="both"/>
      </w:pPr>
      <w:r>
        <w:rPr>
          <w:rFonts w:ascii="Georgia" w:cs="Georgia" w:eastAsia="Georgia" w:hAnsi="Georgia"/>
          <w:color w:val="333333"/>
          <w:sz w:val="22"/>
          <w:szCs w:val="22"/>
        </w:rPr>
        <w:t xml:space="preserve">A star contains approximately </w:t>
      </w:r>
      <w:r>
        <w:rPr>
          <w:rFonts w:ascii="Cambria Math" w:cs="Cambria Math" w:eastAsia="Cambria Math" w:hAnsi="Cambria Math"/>
          <w:color w:val="222222"/>
          <w:sz w:val="22"/>
          <w:szCs w:val="22"/>
        </w:rPr>
        <w:t xml:space="preserve">10⁵⁷</w:t>
      </w:r>
      <w:r>
        <w:rPr>
          <w:rFonts w:ascii="Georgia" w:cs="Georgia" w:eastAsia="Georgia" w:hAnsi="Georgia"/>
          <w:color w:val="333333"/>
          <w:sz w:val="22"/>
          <w:szCs w:val="22"/>
        </w:rPr>
        <w:t xml:space="preserve"> atoms, each with its own field envelope satisfying field closure </w:t>
      </w:r>
      <w:r>
        <w:rPr>
          <w:rFonts w:ascii="Cambria Math" w:cs="Cambria Math" w:eastAsia="Cambria Math" w:hAnsi="Cambria Math"/>
          <w:color w:val="222222"/>
          <w:sz w:val="22"/>
          <w:szCs w:val="22"/>
        </w:rPr>
        <w:t xml:space="preserve">det(e) ≠ 0</w:t>
      </w:r>
      <w:r>
        <w:rPr>
          <w:rFonts w:ascii="Georgia" w:cs="Georgia" w:eastAsia="Georgia" w:hAnsi="Georgia"/>
          <w:color w:val="333333"/>
          <w:sz w:val="22"/>
          <w:szCs w:val="22"/>
        </w:rPr>
        <w:t xml:space="preserve">. If each atom’s field propagates at </w:t>
      </w:r>
      <w:r>
        <w:rPr>
          <w:rFonts w:ascii="Cambria Math" w:cs="Cambria Math" w:eastAsia="Cambria Math" w:hAnsi="Cambria Math"/>
          <w:color w:val="222222"/>
          <w:sz w:val="22"/>
          <w:szCs w:val="22"/>
        </w:rPr>
        <w:t xml:space="preserve">c</w:t>
      </w:r>
      <w:r>
        <w:rPr>
          <w:rFonts w:ascii="Georgia" w:cs="Georgia" w:eastAsia="Georgia" w:hAnsi="Georgia"/>
          <w:color w:val="333333"/>
          <w:sz w:val="22"/>
          <w:szCs w:val="22"/>
        </w:rPr>
        <w:t xml:space="preserve"> and the star’s macroscopic field also propagates at </w:t>
      </w:r>
      <w:r>
        <w:rPr>
          <w:rFonts w:ascii="Cambria Math" w:cs="Cambria Math" w:eastAsia="Cambria Math" w:hAnsi="Cambria Math"/>
          <w:color w:val="222222"/>
          <w:sz w:val="22"/>
          <w:szCs w:val="22"/>
        </w:rPr>
        <w:t xml:space="preserve">c</w:t>
      </w:r>
      <w:r>
        <w:rPr>
          <w:rFonts w:ascii="Georgia" w:cs="Georgia" w:eastAsia="Georgia" w:hAnsi="Georgia"/>
          <w:color w:val="333333"/>
          <w:sz w:val="22"/>
          <w:szCs w:val="22"/>
        </w:rPr>
        <w:t xml:space="preserve">, how do nested field envelopes remain consistent? The answer is that every factor in the Poisson equation traces to topological integers immune to renormalization:</w:t>
      </w:r>
    </w:p>
    <w:p>
      <w:pPr>
        <w:spacing w:before="60" w:after="60"/>
        <w:jc w:val="both"/>
      </w:pP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is the simplex vertex count in </w:t>
      </w:r>
      <w:r>
        <w:rPr>
          <w:rFonts w:ascii="Cambria Math" w:cs="Cambria Math" w:eastAsia="Cambria Math" w:hAnsi="Cambria Math"/>
          <w:color w:val="222222"/>
          <w:sz w:val="22"/>
          <w:szCs w:val="22"/>
        </w:rPr>
        <w:t xml:space="preserve">d = 3</w:t>
      </w:r>
      <w:r>
        <w:rPr>
          <w:rFonts w:ascii="Georgia" w:cs="Georgia" w:eastAsia="Georgia" w:hAnsi="Georgia"/>
          <w:color w:val="333333"/>
          <w:sz w:val="22"/>
          <w:szCs w:val="22"/>
        </w:rPr>
        <w:t xml:space="preserve"> dimensions. It counts faces of a tetrahedron. No scale transformation can change the number of faces. The factor </w:t>
      </w:r>
      <w:r>
        <w:rPr>
          <w:rFonts w:ascii="Cambria Math" w:cs="Cambria Math" w:eastAsia="Cambria Math" w:hAnsi="Cambria Math"/>
          <w:color w:val="222222"/>
          <w:sz w:val="22"/>
          <w:szCs w:val="22"/>
        </w:rPr>
        <w:t xml:space="preserve">4π = kπ</w:t>
      </w:r>
      <w:r>
        <w:rPr>
          <w:rFonts w:ascii="Georgia" w:cs="Georgia" w:eastAsia="Georgia" w:hAnsi="Georgia"/>
          <w:color w:val="333333"/>
          <w:sz w:val="22"/>
          <w:szCs w:val="22"/>
        </w:rPr>
        <w:t xml:space="preserve"> is therefore manifestly scale-independent — no radius </w:t>
      </w:r>
      <w:r>
        <w:rPr>
          <w:rFonts w:ascii="Cambria Math" w:cs="Cambria Math" w:eastAsia="Cambria Math" w:hAnsi="Cambria Math"/>
          <w:color w:val="222222"/>
          <w:sz w:val="22"/>
          <w:szCs w:val="22"/>
        </w:rPr>
        <w:t xml:space="preserve">r</w:t>
      </w:r>
      <w:r>
        <w:rPr>
          <w:rFonts w:ascii="Georgia" w:cs="Georgia" w:eastAsia="Georgia" w:hAnsi="Georgia"/>
          <w:color w:val="333333"/>
          <w:sz w:val="22"/>
          <w:szCs w:val="22"/>
        </w:rPr>
        <w:t xml:space="preserve"> appears.</w:t>
      </w:r>
    </w:p>
    <w:p>
      <w:pPr>
        <w:spacing w:before="60" w:after="60"/>
        <w:jc w:val="both"/>
      </w:pPr>
      <w:r>
        <w:rPr>
          <w:rFonts w:ascii="Cambria Math" w:cs="Cambria Math" w:eastAsia="Cambria Math" w:hAnsi="Cambria Math"/>
          <w:color w:val="222222"/>
          <w:sz w:val="22"/>
          <w:szCs w:val="22"/>
        </w:rPr>
        <w:t xml:space="preserve">17 = f(K, 0)</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13 = f(K, −1)</w:t>
      </w:r>
      <w:r>
        <w:rPr>
          <w:rFonts w:ascii="Georgia" w:cs="Georgia" w:eastAsia="Georgia" w:hAnsi="Georgia"/>
          <w:color w:val="333333"/>
          <w:sz w:val="22"/>
          <w:szCs w:val="22"/>
        </w:rPr>
        <w:t xml:space="preserve"> are integers from evaluating the coupling polynomial at integer values of </w:t>
      </w:r>
      <w:r>
        <w:rPr>
          <w:rFonts w:ascii="Cambria Math" w:cs="Cambria Math" w:eastAsia="Cambria Math" w:hAnsi="Cambria Math"/>
          <w:color w:val="222222"/>
          <w:sz w:val="22"/>
          <w:szCs w:val="22"/>
        </w:rPr>
        <w:t xml:space="preserve">k</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s</w:t>
      </w:r>
      <w:r>
        <w:rPr>
          <w:rFonts w:ascii="Georgia" w:cs="Georgia" w:eastAsia="Georgia" w:hAnsi="Georgia"/>
          <w:color w:val="333333"/>
          <w:sz w:val="22"/>
          <w:szCs w:val="22"/>
        </w:rPr>
        <w:t xml:space="preserve">. Their ratio </w:t>
      </w:r>
      <w:r>
        <w:rPr>
          <w:rFonts w:ascii="Cambria Math" w:cs="Cambria Math" w:eastAsia="Cambria Math" w:hAnsi="Cambria Math"/>
          <w:color w:val="222222"/>
          <w:sz w:val="22"/>
          <w:szCs w:val="22"/>
        </w:rPr>
        <w:t xml:space="preserve">17/13</w:t>
      </w:r>
      <w:r>
        <w:rPr>
          <w:rFonts w:ascii="Georgia" w:cs="Georgia" w:eastAsia="Georgia" w:hAnsi="Georgia"/>
          <w:color w:val="333333"/>
          <w:sz w:val="22"/>
          <w:szCs w:val="22"/>
        </w:rPr>
        <w:t xml:space="preserve"> depends only on the topological constants </w:t>
      </w:r>
      <w:r>
        <w:rPr>
          <w:rFonts w:ascii="Cambria Math" w:cs="Cambria Math" w:eastAsia="Cambria Math" w:hAnsi="Cambria Math"/>
          <w:color w:val="222222"/>
          <w:sz w:val="22"/>
          <w:szCs w:val="22"/>
        </w:rPr>
        <w:t xml:space="preserve">K</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D</w:t>
      </w:r>
      <w:r>
        <w:rPr>
          <w:rFonts w:ascii="Georgia" w:cs="Georgia" w:eastAsia="Georgia" w:hAnsi="Georgia"/>
          <w:color w:val="333333"/>
          <w:sz w:val="22"/>
          <w:szCs w:val="22"/>
        </w:rPr>
        <w:t xml:space="preserve">, not on any scale parameter. The same Poisson equation governs an electron’s field at </w:t>
      </w:r>
      <w:r>
        <w:rPr>
          <w:rFonts w:ascii="Cambria Math" w:cs="Cambria Math" w:eastAsia="Cambria Math" w:hAnsi="Cambria Math"/>
          <w:color w:val="222222"/>
          <w:sz w:val="22"/>
          <w:szCs w:val="22"/>
        </w:rPr>
        <w:t xml:space="preserve">10⁻¹³ m</w:t>
      </w:r>
      <w:r>
        <w:rPr>
          <w:rFonts w:ascii="Georgia" w:cs="Georgia" w:eastAsia="Georgia" w:hAnsi="Georgia"/>
          <w:color w:val="333333"/>
          <w:sz w:val="22"/>
          <w:szCs w:val="22"/>
        </w:rPr>
        <w:t xml:space="preserve"> and a galaxy cluster’s field at </w:t>
      </w:r>
      <w:r>
        <w:rPr>
          <w:rFonts w:ascii="Cambria Math" w:cs="Cambria Math" w:eastAsia="Cambria Math" w:hAnsi="Cambria Math"/>
          <w:color w:val="222222"/>
          <w:sz w:val="22"/>
          <w:szCs w:val="22"/>
        </w:rPr>
        <w:t xml:space="preserve">10²³ m</w:t>
      </w:r>
      <w:r>
        <w:rPr>
          <w:rFonts w:ascii="Georgia" w:cs="Georgia" w:eastAsia="Georgia" w:hAnsi="Georgia"/>
          <w:color w:val="333333"/>
          <w:sz w:val="22"/>
          <w:szCs w:val="22"/>
        </w:rPr>
        <w:t xml:space="preserve"> because the structural constants do not change across 36 orders of magnitude.</w:t>
      </w:r>
    </w:p>
    <w:p>
      <w:pPr>
        <w:spacing w:before="60" w:after="60"/>
        <w:jc w:val="both"/>
      </w:pPr>
      <w:r>
        <w:rPr>
          <w:rFonts w:ascii="Georgia" w:cs="Georgia" w:eastAsia="Georgia" w:hAnsi="Georgia"/>
          <w:color w:val="333333"/>
          <w:sz w:val="22"/>
          <w:szCs w:val="22"/>
        </w:rPr>
        <w:t xml:space="preserve">The non-linearity of the Field Origin — established in tetrad gravity through </w:t>
      </w:r>
      <w:r>
        <w:rPr>
          <w:rFonts w:ascii="Cambria Math" w:cs="Cambria Math" w:eastAsia="Cambria Math" w:hAnsi="Cambria Math"/>
          <w:color w:val="222222"/>
          <w:sz w:val="22"/>
          <w:szCs w:val="22"/>
        </w:rPr>
        <w:t xml:space="preserve">det(e) ≠ 0</w:t>
      </w:r>
      <w:r>
        <w:rPr>
          <w:rFonts w:ascii="Georgia" w:cs="Georgia" w:eastAsia="Georgia" w:hAnsi="Georgia"/>
          <w:color w:val="333333"/>
          <w:sz w:val="22"/>
          <w:szCs w:val="22"/>
        </w:rPr>
        <w:t xml:space="preserve"> and in bimetric gravity through the elementary symmetric polynomials in </w:t>
      </w:r>
      <w:r>
        <w:rPr>
          <w:rFonts w:ascii="Cambria Math" w:cs="Cambria Math" w:eastAsia="Cambria Math" w:hAnsi="Cambria Math"/>
          <w:color w:val="222222"/>
          <w:sz w:val="22"/>
          <w:szCs w:val="22"/>
        </w:rPr>
        <w:t xml:space="preserve">V(S)</w:t>
      </w:r>
      <w:r>
        <w:rPr>
          <w:rFonts w:ascii="Georgia" w:cs="Georgia" w:eastAsia="Georgia" w:hAnsi="Georgia"/>
          <w:color w:val="333333"/>
          <w:sz w:val="22"/>
          <w:szCs w:val="22"/>
        </w:rPr>
        <w:t xml:space="preserve"> — ensures that each gravitating system establishes </w:t>
      </w: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closure independently at its own scale, without requiring global coordination with other scales. Scale invariance follows directly from the topological origin of </w:t>
      </w:r>
      <w:r>
        <w:rPr>
          <w:rFonts w:ascii="Cambria Math" w:cs="Cambria Math" w:eastAsia="Cambria Math" w:hAnsi="Cambria Math"/>
          <w:color w:val="222222"/>
          <w:sz w:val="22"/>
          <w:szCs w:val="22"/>
        </w:rPr>
        <w:t xml:space="preserve">k</w:t>
      </w:r>
      <w:r>
        <w:rPr>
          <w:rFonts w:ascii="Georgia" w:cs="Georgia" w:eastAsia="Georgia" w:hAnsi="Georgia"/>
          <w:color w:val="333333"/>
          <w:sz w:val="22"/>
          <w:szCs w:val="22"/>
        </w:rPr>
        <w:t xml:space="preserve">.</w:t>
      </w:r>
    </w:p>
    <w:p>
      <w:pPr>
        <w:pStyle w:val="Heading1"/>
        <w:spacing w:before="400" w:after="140"/>
      </w:pPr>
      <w:r>
        <w:rPr>
          <w:rFonts w:ascii="Georgia" w:cs="Georgia" w:eastAsia="Georgia" w:hAnsi="Georgia"/>
          <w:b/>
          <w:bCs/>
          <w:color w:val="1B2A4A"/>
          <w:sz w:val="32"/>
          <w:szCs w:val="32"/>
        </w:rPr>
        <w:t xml:space="preserve">11.  The Deep MOND Limit and Tully-Fisher</w:t>
      </w:r>
    </w:p>
    <w:p>
      <w:pPr>
        <w:spacing w:before="60" w:after="60"/>
        <w:jc w:val="both"/>
      </w:pPr>
      <w:r>
        <w:rPr>
          <w:rFonts w:ascii="Georgia" w:cs="Georgia" w:eastAsia="Georgia" w:hAnsi="Georgia"/>
          <w:color w:val="333333"/>
          <w:sz w:val="22"/>
          <w:szCs w:val="22"/>
        </w:rPr>
        <w:t xml:space="preserve">In the deep MOND regime (</w:t>
      </w:r>
      <w:r>
        <w:rPr>
          <w:rFonts w:ascii="Cambria Math" w:cs="Cambria Math" w:eastAsia="Cambria Math" w:hAnsi="Cambria Math"/>
          <w:color w:val="222222"/>
          <w:sz w:val="22"/>
          <w:szCs w:val="22"/>
        </w:rPr>
        <w:t xml:space="preserve">x ≪ 1</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μ ≈ x = g/a₀</w:t>
      </w:r>
      <w:r>
        <w:rPr>
          <w:rFonts w:ascii="Georgia" w:cs="Georgia" w:eastAsia="Georgia" w:hAnsi="Georgia"/>
          <w:color w:val="333333"/>
          <w:sz w:val="22"/>
          <w:szCs w:val="22"/>
        </w:rPr>
        <w:t xml:space="preserve">. The MOND equation </w:t>
      </w:r>
      <w:r>
        <w:rPr>
          <w:rFonts w:ascii="Cambria Math" w:cs="Cambria Math" w:eastAsia="Cambria Math" w:hAnsi="Cambria Math"/>
          <w:color w:val="222222"/>
          <w:sz w:val="22"/>
          <w:szCs w:val="22"/>
        </w:rPr>
        <w:t xml:space="preserve">μ · g = GM/r²</w:t>
      </w:r>
      <w:r>
        <w:rPr>
          <w:rFonts w:ascii="Georgia" w:cs="Georgia" w:eastAsia="Georgia" w:hAnsi="Georgia"/>
          <w:color w:val="333333"/>
          <w:sz w:val="22"/>
          <w:szCs w:val="22"/>
        </w:rPr>
        <w:t xml:space="preserve"> becomes </w:t>
      </w:r>
      <w:r>
        <w:rPr>
          <w:rFonts w:ascii="Cambria Math" w:cs="Cambria Math" w:eastAsia="Cambria Math" w:hAnsi="Cambria Math"/>
          <w:color w:val="222222"/>
          <w:sz w:val="22"/>
          <w:szCs w:val="22"/>
        </w:rPr>
        <w:t xml:space="preserve">g²/a₀ = GM/r²</w:t>
      </w:r>
      <w:r>
        <w:rPr>
          <w:rFonts w:ascii="Georgia" w:cs="Georgia" w:eastAsia="Georgia" w:hAnsi="Georgia"/>
          <w:color w:val="333333"/>
          <w:sz w:val="22"/>
          <w:szCs w:val="22"/>
        </w:rPr>
        <w:t xml:space="preserve">. With </w:t>
      </w:r>
      <w:r>
        <w:rPr>
          <w:rFonts w:ascii="Cambria Math" w:cs="Cambria Math" w:eastAsia="Cambria Math" w:hAnsi="Cambria Math"/>
          <w:color w:val="222222"/>
          <w:sz w:val="22"/>
          <w:szCs w:val="22"/>
        </w:rPr>
        <w:t xml:space="preserve">g = v²/r</w:t>
      </w:r>
      <w:r>
        <w:rPr>
          <w:rFonts w:ascii="Georgia" w:cs="Georgia" w:eastAsia="Georgia" w:hAnsi="Georgia"/>
          <w:color w:val="333333"/>
          <w:sz w:val="22"/>
          <w:szCs w:val="22"/>
        </w:rPr>
        <w:t xml:space="preserve">:</w:t>
      </w:r>
    </w:p>
    <w:p>
      <w:pPr>
        <w:shd w:fill="F0F4F8" w:val="clear"/>
        <w:spacing w:before="160" w:after="160"/>
        <w:jc w:val="center"/>
      </w:pPr>
      <w:r>
        <w:rPr>
          <w:rFonts w:ascii="Cambria Math" w:cs="Cambria Math" w:eastAsia="Cambria Math" w:hAnsi="Cambria Math"/>
          <w:color w:val="1B2A4A"/>
          <w:sz w:val="24"/>
          <w:szCs w:val="24"/>
        </w:rPr>
        <w:t xml:space="preserve">M = v⁴ / (G · a₀)</w:t>
      </w:r>
    </w:p>
    <w:p>
      <w:pPr>
        <w:spacing w:before="60" w:after="60"/>
        <w:jc w:val="both"/>
      </w:pPr>
      <w:r>
        <w:rPr>
          <w:rFonts w:ascii="Georgia" w:cs="Georgia" w:eastAsia="Georgia" w:hAnsi="Georgia"/>
          <w:color w:val="333333"/>
          <w:sz w:val="22"/>
          <w:szCs w:val="22"/>
        </w:rPr>
        <w:t xml:space="preserve">This is the baryonic Tully–Fisher relation (BTFR): baryonic mass scales as the fourth power of the flat rotation velocity. It contains no free parameters — only </w:t>
      </w:r>
      <w:r>
        <w:rPr>
          <w:rFonts w:ascii="Cambria Math" w:cs="Cambria Math" w:eastAsia="Cambria Math" w:hAnsi="Cambria Math"/>
          <w:color w:val="222222"/>
          <w:sz w:val="22"/>
          <w:szCs w:val="22"/>
        </w:rPr>
        <w:t xml:space="preserve">G</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a₀</w:t>
      </w:r>
      <w:r>
        <w:rPr>
          <w:rFonts w:ascii="Georgia" w:cs="Georgia" w:eastAsia="Georgia" w:hAnsi="Georgia"/>
          <w:color w:val="333333"/>
          <w:sz w:val="22"/>
          <w:szCs w:val="22"/>
        </w:rPr>
        <w:t xml:space="preserve">, both of which are independently measured. The BTFR is one of the tightest empirical relations in extragalactic astronomy, with observed scatter consistent with measurement uncertainty alone. It emerges automatically from the deep MOND limit of the constitutive law.</w:t>
      </w:r>
    </w:p>
    <w:p>
      <w:pPr>
        <w:spacing w:before="60" w:after="60"/>
        <w:jc w:val="both"/>
      </w:pPr>
      <w:r>
        <w:rPr>
          <w:rFonts w:ascii="Georgia" w:cs="Georgia" w:eastAsia="Georgia" w:hAnsi="Georgia"/>
          <w:color w:val="333333"/>
          <w:sz w:val="22"/>
          <w:szCs w:val="22"/>
        </w:rPr>
        <w:t xml:space="preserve">In the cosmological cross-check, the deep MOND limit corresponds to </w:t>
      </w:r>
      <w:r>
        <w:rPr>
          <w:rFonts w:ascii="Cambria Math" w:cs="Cambria Math" w:eastAsia="Cambria Math" w:hAnsi="Cambria Math"/>
          <w:color w:val="222222"/>
          <w:sz w:val="22"/>
          <w:szCs w:val="22"/>
        </w:rPr>
        <w:t xml:space="preserve">x₀ = 0</w:t>
      </w:r>
      <w:r>
        <w:rPr>
          <w:rFonts w:ascii="Georgia" w:cs="Georgia" w:eastAsia="Georgia" w:hAnsi="Georgia"/>
          <w:color w:val="333333"/>
          <w:sz w:val="22"/>
          <w:szCs w:val="22"/>
        </w:rPr>
        <w:t xml:space="preserve">, giving </w:t>
      </w:r>
      <w:r>
        <w:rPr>
          <w:rFonts w:ascii="Cambria Math" w:cs="Cambria Math" w:eastAsia="Cambria Math" w:hAnsi="Cambria Math"/>
          <w:color w:val="222222"/>
          <w:sz w:val="22"/>
          <w:szCs w:val="22"/>
        </w:rPr>
        <w:t xml:space="preserve">α = 1/(2 × 2) = 1/4</w:t>
      </w:r>
      <w:r>
        <w:rPr>
          <w:rFonts w:ascii="Georgia" w:cs="Georgia" w:eastAsia="Georgia" w:hAnsi="Georgia"/>
          <w:color w:val="333333"/>
          <w:sz w:val="22"/>
          <w:szCs w:val="22"/>
        </w:rPr>
        <w:t xml:space="preserve">. The 1/4 is the Tully–Fisher exponent seen from the cosmological direction: </w:t>
      </w:r>
      <w:r>
        <w:rPr>
          <w:rFonts w:ascii="Cambria Math" w:cs="Cambria Math" w:eastAsia="Cambria Math" w:hAnsi="Cambria Math"/>
          <w:color w:val="222222"/>
          <w:sz w:val="22"/>
          <w:szCs w:val="22"/>
        </w:rPr>
        <w:t xml:space="preserve">v ∝ h¹⁄⁴</w:t>
      </w:r>
      <w:r>
        <w:rPr>
          <w:rFonts w:ascii="Georgia" w:cs="Georgia" w:eastAsia="Georgia" w:hAnsi="Georgia"/>
          <w:color w:val="333333"/>
          <w:sz w:val="22"/>
          <w:szCs w:val="22"/>
        </w:rPr>
        <w:t xml:space="preserve">. The local equation and the cosmological equation agree in both limits and at all intermediate values.</w:t>
      </w:r>
    </w:p>
    <w:p>
      <w:pPr>
        <w:pStyle w:val="Heading1"/>
        <w:spacing w:before="400" w:after="140"/>
      </w:pPr>
      <w:r>
        <w:rPr>
          <w:rFonts w:ascii="Georgia" w:cs="Georgia" w:eastAsia="Georgia" w:hAnsi="Georgia"/>
          <w:b/>
          <w:bCs/>
          <w:color w:val="1B2A4A"/>
          <w:sz w:val="32"/>
          <w:szCs w:val="32"/>
        </w:rPr>
        <w:t xml:space="preserve">12.  The Complete Derivation Chain</w:t>
      </w:r>
    </w:p>
    <w:p>
      <w:pPr>
        <w:spacing w:before="60" w:after="60"/>
        <w:jc w:val="both"/>
      </w:pPr>
      <w:r>
        <w:rPr>
          <w:rFonts w:ascii="Cambria Math" w:cs="Cambria Math" w:eastAsia="Cambria Math" w:hAnsi="Cambria Math"/>
          <w:color w:val="222222"/>
          <w:sz w:val="22"/>
          <w:szCs w:val="22"/>
        </w:rPr>
        <w:t xml:space="preserve">2(d+1) = 2ᵈ</w:t>
      </w:r>
      <w:r>
        <w:rPr>
          <w:rFonts w:ascii="Georgia" w:cs="Georgia" w:eastAsia="Georgia" w:hAnsi="Georgia"/>
          <w:color w:val="333333"/>
          <w:sz w:val="22"/>
          <w:szCs w:val="22"/>
        </w:rPr>
        <w:t xml:space="preserve"> → </w:t>
      </w:r>
      <w:r>
        <w:rPr>
          <w:rFonts w:ascii="Cambria Math" w:cs="Cambria Math" w:eastAsia="Cambria Math" w:hAnsi="Cambria Math"/>
          <w:color w:val="222222"/>
          <w:sz w:val="22"/>
          <w:szCs w:val="22"/>
        </w:rPr>
        <w:t xml:space="preserve">d = 3</w:t>
      </w:r>
      <w:r>
        <w:rPr>
          <w:rFonts w:ascii="Georgia" w:cs="Georgia" w:eastAsia="Georgia" w:hAnsi="Georgia"/>
          <w:color w:val="333333"/>
          <w:sz w:val="22"/>
          <w:szCs w:val="22"/>
        </w:rPr>
        <w:t xml:space="preserve"> → binary parity partition → stellated octahedron (TetA, TetB) → face normals = tetrad → </w:t>
      </w:r>
      <w:r>
        <w:rPr>
          <w:rFonts w:ascii="Cambria Math" w:cs="Cambria Math" w:eastAsia="Cambria Math" w:hAnsi="Cambria Math"/>
          <w:color w:val="222222"/>
          <w:sz w:val="22"/>
          <w:szCs w:val="22"/>
        </w:rPr>
        <w:t xml:space="preserve">K² = 16</w:t>
      </w:r>
      <w:r>
        <w:rPr>
          <w:rFonts w:ascii="Georgia" w:cs="Georgia" w:eastAsia="Georgia" w:hAnsi="Georgia"/>
          <w:color w:val="333333"/>
          <w:sz w:val="22"/>
          <w:szCs w:val="22"/>
        </w:rPr>
        <w:t xml:space="preserve"> face-coupling channels →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(coupling polynomial) → </w:t>
      </w:r>
      <w:r>
        <w:rPr>
          <w:rFonts w:ascii="Cambria Math" w:cs="Cambria Math" w:eastAsia="Cambria Math" w:hAnsi="Cambria Math"/>
          <w:color w:val="222222"/>
          <w:sz w:val="22"/>
          <w:szCs w:val="22"/>
        </w:rPr>
        <w:t xml:space="preserve">s(x) = (x−1)/(x+1)</w:t>
      </w:r>
      <w:r>
        <w:rPr>
          <w:rFonts w:ascii="Georgia" w:cs="Georgia" w:eastAsia="Georgia" w:hAnsi="Georgia"/>
          <w:color w:val="333333"/>
          <w:sz w:val="22"/>
          <w:szCs w:val="22"/>
        </w:rPr>
        <w:t xml:space="preserve"> (Möbius map, uniquely fixed) → </w:t>
      </w:r>
      <w:r>
        <w:rPr>
          <w:rFonts w:ascii="Cambria Math" w:cs="Cambria Math" w:eastAsia="Cambria Math" w:hAnsi="Cambria Math"/>
          <w:color w:val="222222"/>
          <w:sz w:val="22"/>
          <w:szCs w:val="22"/>
        </w:rPr>
        <w:t xml:space="preserve">f(x) = (21x+13)/(x+1)</w:t>
      </w:r>
      <w:r>
        <w:rPr>
          <w:rFonts w:ascii="Georgia" w:cs="Georgia" w:eastAsia="Georgia" w:hAnsi="Georgia"/>
          <w:color w:val="333333"/>
          <w:sz w:val="22"/>
          <w:szCs w:val="22"/>
        </w:rPr>
        <w:t xml:space="preserve"> (capacity function) → </w:t>
      </w:r>
      <w:r>
        <w:rPr>
          <w:rFonts w:ascii="Cambria Math" w:cs="Cambria Math" w:eastAsia="Cambria Math" w:hAnsi="Cambria Math"/>
          <w:color w:val="222222"/>
          <w:sz w:val="22"/>
          <w:szCs w:val="22"/>
        </w:rPr>
        <w:t xml:space="preserve">μ = x/(x+1)</w:t>
      </w:r>
      <w:r>
        <w:rPr>
          <w:rFonts w:ascii="Georgia" w:cs="Georgia" w:eastAsia="Georgia" w:hAnsi="Georgia"/>
          <w:color w:val="333333"/>
          <w:sz w:val="22"/>
          <w:szCs w:val="22"/>
        </w:rPr>
        <w:t xml:space="preserve"> (normalization) → </w:t>
      </w:r>
      <w:r>
        <w:rPr>
          <w:rFonts w:ascii="Cambria Math" w:cs="Cambria Math" w:eastAsia="Cambria Math" w:hAnsi="Cambria Math"/>
          <w:color w:val="222222"/>
          <w:sz w:val="22"/>
          <w:szCs w:val="22"/>
        </w:rPr>
        <w:t xml:space="preserve">F(y) = y − 2√y + 2·ln(1+√y)</w:t>
      </w:r>
      <w:r>
        <w:rPr>
          <w:rFonts w:ascii="Georgia" w:cs="Georgia" w:eastAsia="Georgia" w:hAnsi="Georgia"/>
          <w:color w:val="333333"/>
          <w:sz w:val="22"/>
          <w:szCs w:val="22"/>
        </w:rPr>
        <w:t xml:space="preserve"> (integration) → Bekenstein–Milgrom action → Poisson equation </w:t>
      </w:r>
      <w:r>
        <w:rPr>
          <w:rFonts w:ascii="Cambria Math" w:cs="Cambria Math" w:eastAsia="Cambria Math" w:hAnsi="Cambria Math"/>
          <w:color w:val="222222"/>
          <w:sz w:val="22"/>
          <w:szCs w:val="22"/>
        </w:rPr>
        <w:t xml:space="preserve">∇·[μ∇Φ] = kπ(f(0)/f(−1))G_{bare}ρ</w:t>
      </w:r>
      <w:r>
        <w:rPr>
          <w:rFonts w:ascii="Georgia" w:cs="Georgia" w:eastAsia="Georgia" w:hAnsi="Georgia"/>
          <w:color w:val="333333"/>
          <w:sz w:val="22"/>
          <w:szCs w:val="22"/>
        </w:rPr>
        <w:t xml:space="preserve"> → galaxy rotation curves, Tully–Fisher, cosmological velocity evolution.</w:t>
      </w:r>
    </w:p>
    <w:p>
      <w:pPr>
        <w:spacing w:before="60" w:after="60"/>
        <w:jc w:val="both"/>
      </w:pPr>
      <w:r>
        <w:rPr>
          <w:rFonts w:ascii="Georgia" w:cs="Georgia" w:eastAsia="Georgia" w:hAnsi="Georgia"/>
          <w:color w:val="333333"/>
          <w:sz w:val="22"/>
          <w:szCs w:val="22"/>
        </w:rPr>
        <w:t xml:space="preserve">Every constant in the chain is a polynomial or exponential in </w:t>
      </w: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D = 3</w:t>
      </w:r>
      <w:r>
        <w:rPr>
          <w:rFonts w:ascii="Georgia" w:cs="Georgia" w:eastAsia="Georgia" w:hAnsi="Georgia"/>
          <w:color w:val="333333"/>
          <w:sz w:val="22"/>
          <w:szCs w:val="22"/>
        </w:rPr>
        <w:t xml:space="preserve">. No parameter is fitted, adjusted, or borrowed from phenomenology.</w:t>
      </w:r>
    </w:p>
    <w:p>
      <w:pPr>
        <w:pStyle w:val="Heading1"/>
        <w:spacing w:before="400" w:after="140"/>
      </w:pPr>
      <w:r>
        <w:rPr>
          <w:rFonts w:ascii="Georgia" w:cs="Georgia" w:eastAsia="Georgia" w:hAnsi="Georgia"/>
          <w:b/>
          <w:bCs/>
          <w:color w:val="1B2A4A"/>
          <w:sz w:val="32"/>
          <w:szCs w:val="32"/>
        </w:rPr>
        <w:t xml:space="preserve">13.  Conclusion</w:t>
      </w:r>
    </w:p>
    <w:p>
      <w:pPr>
        <w:spacing w:before="60" w:after="60"/>
        <w:jc w:val="both"/>
      </w:pPr>
      <w:r>
        <w:rPr>
          <w:rFonts w:ascii="Georgia" w:cs="Georgia" w:eastAsia="Georgia" w:hAnsi="Georgia"/>
          <w:color w:val="333333"/>
          <w:sz w:val="22"/>
          <w:szCs w:val="22"/>
        </w:rPr>
        <w:t xml:space="preserve">The constitutive law </w:t>
      </w:r>
      <w:r>
        <w:rPr>
          <w:rFonts w:ascii="Cambria Math" w:cs="Cambria Math" w:eastAsia="Cambria Math" w:hAnsi="Cambria Math"/>
          <w:color w:val="222222"/>
          <w:sz w:val="22"/>
          <w:szCs w:val="22"/>
        </w:rPr>
        <w:t xml:space="preserve">μ(x) = x/(x+1)</w:t>
      </w:r>
      <w:r>
        <w:rPr>
          <w:rFonts w:ascii="Georgia" w:cs="Georgia" w:eastAsia="Georgia" w:hAnsi="Georgia"/>
          <w:color w:val="333333"/>
          <w:sz w:val="22"/>
          <w:szCs w:val="22"/>
        </w:rPr>
        <w:t xml:space="preserve"> and the gravitational Poisson equation are two projections of the coupling polynomial </w:t>
      </w:r>
      <w:r>
        <w:rPr>
          <w:rFonts w:ascii="Cambria Math" w:cs="Cambria Math" w:eastAsia="Cambria Math" w:hAnsi="Cambria Math"/>
          <w:color w:val="222222"/>
          <w:sz w:val="22"/>
          <w:szCs w:val="22"/>
        </w:rPr>
        <w:t xml:space="preserve">f(k,s) = 1 + sk + k²</w:t>
      </w:r>
      <w:r>
        <w:rPr>
          <w:rFonts w:ascii="Georgia" w:cs="Georgia" w:eastAsia="Georgia" w:hAnsi="Georgia"/>
          <w:color w:val="333333"/>
          <w:sz w:val="22"/>
          <w:szCs w:val="22"/>
        </w:rPr>
        <w:t xml:space="preserve">. The Poisson equation samples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 at two fixed structural states (</w:t>
      </w:r>
      <w:r>
        <w:rPr>
          <w:rFonts w:ascii="Cambria Math" w:cs="Cambria Math" w:eastAsia="Cambria Math" w:hAnsi="Cambria Math"/>
          <w:color w:val="222222"/>
          <w:sz w:val="22"/>
          <w:szCs w:val="22"/>
        </w:rPr>
        <w:t xml:space="preserve">s = 0</w:t>
      </w:r>
      <w:r>
        <w:rPr>
          <w:rFonts w:ascii="Georgia" w:cs="Georgia" w:eastAsia="Georgia" w:hAnsi="Georgia"/>
          <w:color w:val="333333"/>
          <w:sz w:val="22"/>
          <w:szCs w:val="22"/>
        </w:rPr>
        <w:t xml:space="preserve"> and </w:t>
      </w:r>
      <w:r>
        <w:rPr>
          <w:rFonts w:ascii="Cambria Math" w:cs="Cambria Math" w:eastAsia="Cambria Math" w:hAnsi="Cambria Math"/>
          <w:color w:val="222222"/>
          <w:sz w:val="22"/>
          <w:szCs w:val="22"/>
        </w:rPr>
        <w:t xml:space="preserve">s = −1</w:t>
      </w:r>
      <w:r>
        <w:rPr>
          <w:rFonts w:ascii="Georgia" w:cs="Georgia" w:eastAsia="Georgia" w:hAnsi="Georgia"/>
          <w:color w:val="333333"/>
          <w:sz w:val="22"/>
          <w:szCs w:val="22"/>
        </w:rPr>
        <w:t xml:space="preserve">), producing the static prefactor </w:t>
      </w:r>
      <w:r>
        <w:rPr>
          <w:rFonts w:ascii="Cambria Math" w:cs="Cambria Math" w:eastAsia="Cambria Math" w:hAnsi="Cambria Math"/>
          <w:color w:val="222222"/>
          <w:sz w:val="22"/>
          <w:szCs w:val="22"/>
        </w:rPr>
        <w:t xml:space="preserve">4π(17/13)G_{bare}</w:t>
      </w:r>
      <w:r>
        <w:rPr>
          <w:rFonts w:ascii="Georgia" w:cs="Georgia" w:eastAsia="Georgia" w:hAnsi="Georgia"/>
          <w:color w:val="333333"/>
          <w:sz w:val="22"/>
          <w:szCs w:val="22"/>
        </w:rPr>
        <w:t xml:space="preserve">. The constitutive law evaluates </w:t>
      </w:r>
      <w:r>
        <w:rPr>
          <w:rFonts w:ascii="Cambria Math" w:cs="Cambria Math" w:eastAsia="Cambria Math" w:hAnsi="Cambria Math"/>
          <w:color w:val="222222"/>
          <w:sz w:val="22"/>
          <w:szCs w:val="22"/>
        </w:rPr>
        <w:t xml:space="preserve">f</w:t>
      </w:r>
      <w:r>
        <w:rPr>
          <w:rFonts w:ascii="Georgia" w:cs="Georgia" w:eastAsia="Georgia" w:hAnsi="Georgia"/>
          <w:color w:val="333333"/>
          <w:sz w:val="22"/>
          <w:szCs w:val="22"/>
        </w:rPr>
        <w:t xml:space="preserve"> continuously across all states, producing </w:t>
      </w:r>
      <w:r>
        <w:rPr>
          <w:rFonts w:ascii="Cambria Math" w:cs="Cambria Math" w:eastAsia="Cambria Math" w:hAnsi="Cambria Math"/>
          <w:color w:val="222222"/>
          <w:sz w:val="22"/>
          <w:szCs w:val="22"/>
        </w:rPr>
        <w:t xml:space="preserve">μ(x)</w:t>
      </w:r>
      <w:r>
        <w:rPr>
          <w:rFonts w:ascii="Georgia" w:cs="Georgia" w:eastAsia="Georgia" w:hAnsi="Georgia"/>
          <w:color w:val="333333"/>
          <w:sz w:val="22"/>
          <w:szCs w:val="22"/>
        </w:rPr>
        <w:t xml:space="preserve"> and thereby the MOND field equation.</w:t>
      </w:r>
    </w:p>
    <w:p>
      <w:pPr>
        <w:spacing w:before="60" w:after="60"/>
        <w:jc w:val="both"/>
      </w:pPr>
      <w:r>
        <w:rPr>
          <w:rFonts w:ascii="Georgia" w:cs="Georgia" w:eastAsia="Georgia" w:hAnsi="Georgia"/>
          <w:color w:val="333333"/>
          <w:sz w:val="22"/>
          <w:szCs w:val="22"/>
        </w:rPr>
        <w:t xml:space="preserve">MOND works because Milgrom’s phenomenological constraints happen to select the unique interpolation function that the stellated octahedron’s topology produces. The simple form </w:t>
      </w:r>
      <w:r>
        <w:rPr>
          <w:rFonts w:ascii="Cambria Math" w:cs="Cambria Math" w:eastAsia="Cambria Math" w:hAnsi="Cambria Math"/>
          <w:color w:val="222222"/>
          <w:sz w:val="22"/>
          <w:szCs w:val="22"/>
        </w:rPr>
        <w:t xml:space="preserve">x/(x+1)</w:t>
      </w:r>
      <w:r>
        <w:rPr>
          <w:rFonts w:ascii="Georgia" w:cs="Georgia" w:eastAsia="Georgia" w:hAnsi="Georgia"/>
          <w:color w:val="333333"/>
          <w:sz w:val="22"/>
          <w:szCs w:val="22"/>
        </w:rPr>
        <w:t xml:space="preserve"> is not one candidate among many — it is the constitutive law of the </w:t>
      </w:r>
      <w:r>
        <w:rPr>
          <w:rFonts w:ascii="Cambria Math" w:cs="Cambria Math" w:eastAsia="Cambria Math" w:hAnsi="Cambria Math"/>
          <w:color w:val="222222"/>
          <w:sz w:val="22"/>
          <w:szCs w:val="22"/>
        </w:rPr>
        <w:t xml:space="preserve">K = 4</w:t>
      </w:r>
      <w:r>
        <w:rPr>
          <w:rFonts w:ascii="Georgia" w:cs="Georgia" w:eastAsia="Georgia" w:hAnsi="Georgia"/>
          <w:color w:val="333333"/>
          <w:sz w:val="22"/>
          <w:szCs w:val="22"/>
        </w:rPr>
        <w:t xml:space="preserve">, </w:t>
      </w:r>
      <w:r>
        <w:rPr>
          <w:rFonts w:ascii="Cambria Math" w:cs="Cambria Math" w:eastAsia="Cambria Math" w:hAnsi="Cambria Math"/>
          <w:color w:val="222222"/>
          <w:sz w:val="22"/>
          <w:szCs w:val="22"/>
        </w:rPr>
        <w:t xml:space="preserve">D = 3</w:t>
      </w:r>
      <w:r>
        <w:rPr>
          <w:rFonts w:ascii="Georgia" w:cs="Georgia" w:eastAsia="Georgia" w:hAnsi="Georgia"/>
          <w:color w:val="333333"/>
          <w:sz w:val="22"/>
          <w:szCs w:val="22"/>
        </w:rPr>
        <w:t xml:space="preserve"> geometry. Its structural properties (Langmuir saturation, Möbius inverse, complement symmetry, closed-form action, screening identity) are topological consequences, not mathematical coincidences.</w:t>
      </w:r>
    </w:p>
    <w:p>
      <w:pPr>
        <w:spacing w:before="60" w:after="60"/>
        <w:jc w:val="both"/>
      </w:pPr>
      <w:r>
        <w:rPr>
          <w:rFonts w:ascii="Georgia" w:cs="Georgia" w:eastAsia="Georgia" w:hAnsi="Georgia"/>
          <w:color w:val="333333"/>
          <w:sz w:val="22"/>
          <w:szCs w:val="22"/>
        </w:rPr>
        <w:t xml:space="preserve">The identification is validated by a 50-test enterprise suite covering seven domains: topology, algebra, dynamics, cosmology, synthesis, the Poisson connection, and frontier extensions. All tests pass with zero failures.</w:t>
      </w:r>
    </w:p>
    <w:p>
      <w:pPr>
        <w:spacing w:before="200" w:after="0"/>
      </w:pPr>
    </w:p>
    <w:p>
      <w:pPr>
        <w:spacing w:before="200" w:after="200"/>
        <w:jc w:val="center"/>
      </w:pPr>
      <w:r>
        <w:rPr>
          <w:rFonts w:ascii="Georgia" w:cs="Georgia" w:eastAsia="Georgia" w:hAnsi="Georgia"/>
          <w:color w:val="333333"/>
          <w:sz w:val="22"/>
          <w:szCs w:val="22"/>
        </w:rPr>
        <w:t xml:space="preserve">One constitutive law. Two field chambers. Two projections. Zero free parameters.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GFD Constitutive Law — Extended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Georgia" w:cs="Georgia" w:eastAsia="Georgia" w:hAnsi="Georgia"/>
      <w:b/>
      <w:bCs/>
      <w:color w:val="1B2A4A"/>
      <w:sz w:val="32"/>
      <w:szCs w:val="32"/>
    </w:rPr>
  </w:style>
  <w:style w:type="paragraph" w:styleId="Heading2">
    <w:name w:val="Heading 2"/>
    <w:basedOn w:val="Normal"/>
    <w:next w:val="Normal"/>
    <w:qFormat/>
    <w:pPr>
      <w:spacing w:before="280" w:after="100"/>
      <w:outlineLvl w:val="1"/>
    </w:pPr>
    <w:rPr>
      <w:rFonts w:ascii="Georgia" w:cs="Georgia" w:eastAsia="Georgia" w:hAnsi="Georgia"/>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2026-03-03T03:10:54.634Z</dcterms:created>
  <dcterms:modified xsi:type="dcterms:W3CDTF">2026-03-03T03:10:54.635Z</dcterms:modified>
</cp:coreProperties>
</file>

<file path=docProps/custom.xml><?xml version="1.0" encoding="utf-8"?>
<Properties xmlns="http://schemas.openxmlformats.org/officeDocument/2006/custom-properties" xmlns:vt="http://schemas.openxmlformats.org/officeDocument/2006/docPropsVTypes"/>
</file>