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120"/>
        <w:jc w:val="center"/>
      </w:pPr>
      <w:r>
        <w:rPr>
          <w:rFonts w:ascii="Georgia" w:cs="Georgia" w:eastAsia="Georgia" w:hAnsi="Georgia"/>
          <w:b/>
          <w:bCs/>
          <w:color w:val="1B2A4A"/>
          <w:sz w:val="40"/>
          <w:szCs w:val="40"/>
        </w:rPr>
        <w:t xml:space="preserve">The Constitutive Law of Gravity Field Dynamics</w:t>
      </w:r>
    </w:p>
    <w:p>
      <w:pPr>
        <w:spacing w:before="80" w:after="60"/>
        <w:jc w:val="center"/>
      </w:pPr>
      <w:r>
        <w:rPr>
          <w:rFonts w:ascii="Georgia" w:cs="Georgia" w:eastAsia="Georgia" w:hAnsi="Georgia"/>
          <w:i/>
          <w:iCs/>
          <w:color w:val="2E5090"/>
          <w:sz w:val="24"/>
          <w:szCs w:val="24"/>
        </w:rPr>
        <w:t xml:space="preserve">Topological Origin, Term-by-Term Decomposition, and Physical Identification</w:t>
      </w:r>
    </w:p>
    <w:p>
      <w:pPr>
        <w:spacing w:before="60" w:after="40"/>
        <w:jc w:val="center"/>
      </w:pPr>
      <w:r>
        <w:rPr>
          <w:rFonts w:ascii="Cambria Math" w:cs="Cambria Math" w:eastAsia="Cambria Math" w:hAnsi="Cambria Math"/>
          <w:color w:val="2E5090"/>
          <w:sz w:val="24"/>
          <w:szCs w:val="24"/>
        </w:rPr>
        <w:t xml:space="preserve">of the Field Origin Saturation Function μ(x) = x/(x+1)</w:t>
      </w:r>
    </w:p>
    <w:p>
      <w:pPr>
        <w:spacing w:before="400" w:after="0"/>
      </w:pPr>
    </w:p>
    <w:p>
      <w:pPr>
        <w:spacing w:before="0" w:after="40"/>
        <w:jc w:val="center"/>
      </w:pPr>
      <w:r>
        <w:rPr>
          <w:rFonts w:ascii="Georgia" w:cs="Georgia" w:eastAsia="Georgia" w:hAnsi="Georgia"/>
          <w:b/>
          <w:bCs/>
          <w:color w:val="1B2A4A"/>
          <w:sz w:val="24"/>
          <w:szCs w:val="24"/>
        </w:rPr>
        <w:t xml:space="preserve">Stephen Nelson</w:t>
      </w:r>
    </w:p>
    <w:p>
      <w:pPr>
        <w:spacing w:before="0" w:after="40"/>
        <w:jc w:val="center"/>
      </w:pPr>
      <w:r>
        <w:rPr>
          <w:rFonts w:ascii="Georgia" w:cs="Georgia" w:eastAsia="Georgia" w:hAnsi="Georgia"/>
          <w:i/>
          <w:iCs/>
          <w:color w:val="555555"/>
          <w:sz w:val="22"/>
          <w:szCs w:val="22"/>
        </w:rPr>
        <w:t xml:space="preserve">Field Dynamics Research</w:t>
      </w:r>
    </w:p>
    <w:p>
      <w:pPr>
        <w:spacing w:before="0" w:after="200"/>
        <w:jc w:val="center"/>
      </w:pPr>
      <w:r>
        <w:rPr>
          <w:rFonts w:ascii="Georgia" w:cs="Georgia" w:eastAsia="Georgia" w:hAnsi="Georgia"/>
          <w:color w:val="555555"/>
          <w:sz w:val="22"/>
          <w:szCs w:val="22"/>
        </w:rPr>
        <w:t xml:space="preserve">March 2026</w:t>
      </w:r>
    </w:p>
    <w:p>
      <w:pPr>
        <w:pBdr>
          <w:bottom w:val="single" w:color="C0C0C0" w:sz="1" w:space="8"/>
        </w:pBdr>
        <w:spacing w:before="200" w:after="200"/>
      </w:pPr>
    </w:p>
    <w:p>
      <w:pPr>
        <w:pStyle w:val="Heading2"/>
        <w:spacing w:before="120" w:after="120"/>
      </w:pPr>
      <w:r>
        <w:rPr>
          <w:rFonts w:ascii="Georgia" w:cs="Georgia" w:eastAsia="Georgia" w:hAnsi="Georgia"/>
          <w:b/>
          <w:bCs/>
          <w:color w:val="1B2A4A"/>
          <w:sz w:val="26"/>
          <w:szCs w:val="26"/>
        </w:rPr>
        <w:t xml:space="preserve">Abstract</w:t>
      </w:r>
    </w:p>
    <w:p>
      <w:pPr>
        <w:spacing w:before="60" w:after="60"/>
        <w:jc w:val="both"/>
      </w:pPr>
      <w:r>
        <w:rPr>
          <w:rFonts w:ascii="Georgia" w:cs="Georgia" w:eastAsia="Georgia" w:hAnsi="Georgia"/>
          <w:color w:val="333333"/>
          <w:sz w:val="22"/>
          <w:szCs w:val="22"/>
        </w:rPr>
        <w:t xml:space="preserve">Gravity Field Dynamics derives the gravitational constitutive law </w:t>
      </w:r>
      <w:r>
        <w:rPr>
          <w:rFonts w:ascii="Cambria Math" w:cs="Cambria Math" w:eastAsia="Cambria Math" w:hAnsi="Cambria Math"/>
          <w:color w:val="222222"/>
          <w:sz w:val="22"/>
          <w:szCs w:val="22"/>
        </w:rPr>
        <w:t xml:space="preserve">μ(x) = x/(x+1)</w:t>
      </w:r>
      <w:r>
        <w:rPr>
          <w:rFonts w:ascii="Georgia" w:cs="Georgia" w:eastAsia="Georgia" w:hAnsi="Georgia"/>
          <w:color w:val="333333"/>
          <w:sz w:val="22"/>
          <w:szCs w:val="22"/>
        </w:rPr>
        <w:t xml:space="preserve"> from the topology of the stellated octahedron with zero free parameters. This document presents a complete identification of what μ(x) is within the GFD framework. We show that μ(x) is neither the Field Origin alone, nor the full face coupling between the two tetrahedral chambers, but the </w:t>
      </w:r>
      <w:r>
        <w:rPr>
          <w:rFonts w:ascii="Georgia" w:cs="Georgia" w:eastAsia="Georgia" w:hAnsi="Georgia"/>
          <w:i/>
          <w:iCs/>
          <w:color w:val="333333"/>
          <w:sz w:val="22"/>
          <w:szCs w:val="22"/>
        </w:rPr>
        <w:t xml:space="preserve">normalized saturation response</w:t>
      </w:r>
      <w:r>
        <w:rPr>
          <w:rFonts w:ascii="Georgia" w:cs="Georgia" w:eastAsia="Georgia" w:hAnsi="Georgia"/>
          <w:color w:val="333333"/>
          <w:sz w:val="22"/>
          <w:szCs w:val="22"/>
        </w:rPr>
        <w:t xml:space="preserve"> of the Field Origin to a gravitational signal flowing through all </w:t>
      </w:r>
      <w:r>
        <w:rPr>
          <w:rFonts w:ascii="Cambria Math" w:cs="Cambria Math" w:eastAsia="Cambria Math" w:hAnsi="Cambria Math"/>
          <w:color w:val="222222"/>
          <w:sz w:val="22"/>
          <w:szCs w:val="22"/>
        </w:rPr>
        <w:t xml:space="preserve">K² = 16</w:t>
      </w:r>
      <w:r>
        <w:rPr>
          <w:rFonts w:ascii="Georgia" w:cs="Georgia" w:eastAsia="Georgia" w:hAnsi="Georgia"/>
          <w:color w:val="333333"/>
          <w:sz w:val="22"/>
          <w:szCs w:val="22"/>
        </w:rPr>
        <w:t xml:space="preserve"> face-coupling channels between TetA and TetB, with a </w:t>
      </w: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bottleneck at the shared geometric center. The coupling polynomial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decomposes into three terms, each playing a distinct, computationally verified role: </w:t>
      </w:r>
      <w:r>
        <w:rPr>
          <w:rFonts w:ascii="Cambria Math" w:cs="Cambria Math" w:eastAsia="Cambria Math" w:hAnsi="Cambria Math"/>
          <w:color w:val="222222"/>
          <w:sz w:val="22"/>
          <w:szCs w:val="22"/>
        </w:rPr>
        <w:t xml:space="preserve">k²</w:t>
      </w:r>
      <w:r>
        <w:rPr>
          <w:rFonts w:ascii="Georgia" w:cs="Georgia" w:eastAsia="Georgia" w:hAnsi="Georgia"/>
          <w:color w:val="333333"/>
          <w:sz w:val="22"/>
          <w:szCs w:val="22"/>
        </w:rPr>
        <w:t xml:space="preserve"> sets the coupling range, </w:t>
      </w:r>
      <w:r>
        <w:rPr>
          <w:rFonts w:ascii="Cambria Math" w:cs="Cambria Math" w:eastAsia="Cambria Math" w:hAnsi="Cambria Math"/>
          <w:color w:val="222222"/>
          <w:sz w:val="22"/>
          <w:szCs w:val="22"/>
        </w:rPr>
        <w:t xml:space="preserve">sk</w:t>
      </w:r>
      <w:r>
        <w:rPr>
          <w:rFonts w:ascii="Georgia" w:cs="Georgia" w:eastAsia="Georgia" w:hAnsi="Georgia"/>
          <w:color w:val="333333"/>
          <w:sz w:val="22"/>
          <w:szCs w:val="22"/>
        </w:rPr>
        <w:t xml:space="preserve"> provides the state-dependent flow, and </w:t>
      </w:r>
      <w:r>
        <w:rPr>
          <w:rFonts w:ascii="Cambria Math" w:cs="Cambria Math" w:eastAsia="Cambria Math" w:hAnsi="Cambria Math"/>
          <w:color w:val="222222"/>
          <w:sz w:val="22"/>
          <w:szCs w:val="22"/>
        </w:rPr>
        <w:t xml:space="preserve">k⁰</w:t>
      </w:r>
      <w:r>
        <w:rPr>
          <w:rFonts w:ascii="Georgia" w:cs="Georgia" w:eastAsia="Georgia" w:hAnsi="Georgia"/>
          <w:color w:val="333333"/>
          <w:sz w:val="22"/>
          <w:szCs w:val="22"/>
        </w:rPr>
        <w:t xml:space="preserve"> produces Langmuir saturation. All three terms are necessary; none is sufficient. The identification is validated by a 30-test enterprise suite covering topology, algebra, field dynamics, cosmological predictions, and the complete derivation chain from the dimensional uniqueness theorem to the scalar-tensor action.</w:t>
      </w:r>
    </w:p>
    <w:p>
      <w:pPr>
        <w:pBdr>
          <w:bottom w:val="single" w:color="C0C0C0" w:sz="1" w:space="8"/>
        </w:pBdr>
        <w:spacing w:before="200" w:after="200"/>
      </w:pPr>
    </w:p>
    <w:p>
      <w:r>
        <w:br w:type="page"/>
      </w:r>
    </w:p>
    <w:p>
      <w:pPr>
        <w:pStyle w:val="Heading1"/>
        <w:spacing w:before="360" w:after="120"/>
      </w:pPr>
      <w:r>
        <w:rPr>
          <w:rFonts w:ascii="Georgia" w:cs="Georgia" w:eastAsia="Georgia" w:hAnsi="Georgia"/>
          <w:b/>
          <w:bCs/>
          <w:color w:val="1B2A4A"/>
          <w:sz w:val="32"/>
          <w:szCs w:val="32"/>
        </w:rPr>
        <w:t xml:space="preserve">1.  Introduction</w:t>
      </w:r>
    </w:p>
    <w:p>
      <w:pPr>
        <w:spacing w:before="60" w:after="60"/>
        <w:jc w:val="both"/>
      </w:pPr>
      <w:r>
        <w:rPr>
          <w:rFonts w:ascii="Georgia" w:cs="Georgia" w:eastAsia="Georgia" w:hAnsi="Georgia"/>
          <w:color w:val="333333"/>
          <w:sz w:val="22"/>
          <w:szCs w:val="22"/>
        </w:rPr>
        <w:t xml:space="preserve">The equation </w:t>
      </w:r>
      <w:r>
        <w:rPr>
          <w:rFonts w:ascii="Cambria Math" w:cs="Cambria Math" w:eastAsia="Cambria Math" w:hAnsi="Cambria Math"/>
          <w:color w:val="222222"/>
          <w:sz w:val="22"/>
          <w:szCs w:val="22"/>
        </w:rPr>
        <w:t xml:space="preserve">2(d+1) = 2ᵈ</w:t>
      </w:r>
      <w:r>
        <w:rPr>
          <w:rFonts w:ascii="Georgia" w:cs="Georgia" w:eastAsia="Georgia" w:hAnsi="Georgia"/>
          <w:color w:val="333333"/>
          <w:sz w:val="22"/>
          <w:szCs w:val="22"/>
        </w:rPr>
        <w:t xml:space="preserve"> has a unique positive-integer solution: </w:t>
      </w:r>
      <w:r>
        <w:rPr>
          <w:rFonts w:ascii="Cambria Math" w:cs="Cambria Math" w:eastAsia="Cambria Math" w:hAnsi="Cambria Math"/>
          <w:color w:val="222222"/>
          <w:sz w:val="22"/>
          <w:szCs w:val="22"/>
        </w:rPr>
        <w:t xml:space="preserve">d = 3</w:t>
      </w:r>
      <w:r>
        <w:rPr>
          <w:rFonts w:ascii="Georgia" w:cs="Georgia" w:eastAsia="Georgia" w:hAnsi="Georgia"/>
          <w:color w:val="333333"/>
          <w:sz w:val="22"/>
          <w:szCs w:val="22"/>
        </w:rPr>
        <w:t xml:space="preserve">. This fixes two structural constants: </w:t>
      </w:r>
      <w:r>
        <w:rPr>
          <w:rFonts w:ascii="Cambria Math" w:cs="Cambria Math" w:eastAsia="Cambria Math" w:hAnsi="Cambria Math"/>
          <w:color w:val="222222"/>
          <w:sz w:val="22"/>
          <w:szCs w:val="22"/>
        </w:rPr>
        <w:t xml:space="preserve">K = d+1 = 4</w:t>
      </w:r>
      <w:r>
        <w:rPr>
          <w:rFonts w:ascii="Georgia" w:cs="Georgia" w:eastAsia="Georgia" w:hAnsi="Georgia"/>
          <w:color w:val="333333"/>
          <w:sz w:val="22"/>
          <w:szCs w:val="22"/>
        </w:rPr>
        <w:t xml:space="preserve"> vertices per simplex and </w:t>
      </w:r>
      <w:r>
        <w:rPr>
          <w:rFonts w:ascii="Cambria Math" w:cs="Cambria Math" w:eastAsia="Cambria Math" w:hAnsi="Cambria Math"/>
          <w:color w:val="222222"/>
          <w:sz w:val="22"/>
          <w:szCs w:val="22"/>
        </w:rPr>
        <w:t xml:space="preserve">D = d = 3</w:t>
      </w:r>
      <w:r>
        <w:rPr>
          <w:rFonts w:ascii="Georgia" w:cs="Georgia" w:eastAsia="Georgia" w:hAnsi="Georgia"/>
          <w:color w:val="333333"/>
          <w:sz w:val="22"/>
          <w:szCs w:val="22"/>
        </w:rPr>
        <w:t xml:space="preserve"> spatial dimensions. Binary encoding of </w:t>
      </w:r>
      <w:r>
        <w:rPr>
          <w:rFonts w:ascii="Cambria Math" w:cs="Cambria Math" w:eastAsia="Cambria Math" w:hAnsi="Cambria Math"/>
          <w:color w:val="222222"/>
          <w:sz w:val="22"/>
          <w:szCs w:val="22"/>
        </w:rPr>
        <w:t xml:space="preserve">K</w:t>
      </w:r>
      <w:r>
        <w:rPr>
          <w:rFonts w:ascii="Georgia" w:cs="Georgia" w:eastAsia="Georgia" w:hAnsi="Georgia"/>
          <w:color w:val="333333"/>
          <w:sz w:val="22"/>
          <w:szCs w:val="22"/>
        </w:rPr>
        <w:t xml:space="preserve"> vertices in </w:t>
      </w:r>
      <w:r>
        <w:rPr>
          <w:rFonts w:ascii="Cambria Math" w:cs="Cambria Math" w:eastAsia="Cambria Math" w:hAnsi="Cambria Math"/>
          <w:color w:val="222222"/>
          <w:sz w:val="22"/>
          <w:szCs w:val="22"/>
        </w:rPr>
        <w:t xml:space="preserve">D</w:t>
      </w:r>
      <w:r>
        <w:rPr>
          <w:rFonts w:ascii="Georgia" w:cs="Georgia" w:eastAsia="Georgia" w:hAnsi="Georgia"/>
          <w:color w:val="333333"/>
          <w:sz w:val="22"/>
          <w:szCs w:val="22"/>
        </w:rPr>
        <w:t xml:space="preserve"> dimensions produces two interlocking tetrahedra — the stellated octahedron — whose face normals are identically the four basis vectors that general relativity abstracts as the tetrad.</w:t>
      </w:r>
    </w:p>
    <w:p>
      <w:pPr>
        <w:spacing w:before="60" w:after="60"/>
        <w:jc w:val="both"/>
      </w:pPr>
      <w:r>
        <w:rPr>
          <w:rFonts w:ascii="Georgia" w:cs="Georgia" w:eastAsia="Georgia" w:hAnsi="Georgia"/>
          <w:color w:val="333333"/>
          <w:sz w:val="22"/>
          <w:szCs w:val="22"/>
        </w:rPr>
        <w:t xml:space="preserve">The interpenetration of these two tetrahedral field chambers creates a structured interior boundary. Each face of the primary tetrahedron (TetA) is subdivided into four sub-regions by the penetrating vertex of the dual (TetB), giving </w:t>
      </w:r>
      <w:r>
        <w:rPr>
          <w:rFonts w:ascii="Cambria Math" w:cs="Cambria Math" w:eastAsia="Cambria Math" w:hAnsi="Cambria Math"/>
          <w:color w:val="222222"/>
          <w:sz w:val="22"/>
          <w:szCs w:val="22"/>
        </w:rPr>
        <w:t xml:space="preserve">K × K = K² = 16</w:t>
      </w:r>
      <w:r>
        <w:rPr>
          <w:rFonts w:ascii="Georgia" w:cs="Georgia" w:eastAsia="Georgia" w:hAnsi="Georgia"/>
          <w:color w:val="333333"/>
          <w:sz w:val="22"/>
          <w:szCs w:val="22"/>
        </w:rPr>
        <w:t xml:space="preserve"> independent coupling channels at the face-to-face boundary. The algebraic vectors of the tetrad are insufficient to describe this interaction; the metrics couple through the </w:t>
      </w:r>
      <w:r>
        <w:rPr>
          <w:rFonts w:ascii="Georgia" w:cs="Georgia" w:eastAsia="Georgia" w:hAnsi="Georgia"/>
          <w:i/>
          <w:iCs/>
          <w:color w:val="333333"/>
          <w:sz w:val="22"/>
          <w:szCs w:val="22"/>
        </w:rPr>
        <w:t xml:space="preserve">faces</w:t>
      </w:r>
      <w:r>
        <w:rPr>
          <w:rFonts w:ascii="Georgia" w:cs="Georgia" w:eastAsia="Georgia" w:hAnsi="Georgia"/>
          <w:color w:val="333333"/>
          <w:sz w:val="22"/>
          <w:szCs w:val="22"/>
        </w:rPr>
        <w:t xml:space="preserve"> of the tetrahedral field chamber.</w:t>
      </w:r>
    </w:p>
    <w:p>
      <w:pPr>
        <w:spacing w:before="60" w:after="60"/>
        <w:jc w:val="both"/>
      </w:pPr>
      <w:r>
        <w:rPr>
          <w:rFonts w:ascii="Georgia" w:cs="Georgia" w:eastAsia="Georgia" w:hAnsi="Georgia"/>
          <w:color w:val="333333"/>
          <w:sz w:val="22"/>
          <w:szCs w:val="22"/>
        </w:rPr>
        <w:t xml:space="preserve">This interior geometry determines a coupling polynomial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whose evaluation at </w:t>
      </w:r>
      <w:r>
        <w:rPr>
          <w:rFonts w:ascii="Cambria Math" w:cs="Cambria Math" w:eastAsia="Cambria Math" w:hAnsi="Cambria Math"/>
          <w:color w:val="222222"/>
          <w:sz w:val="22"/>
          <w:szCs w:val="22"/>
        </w:rPr>
        <w:t xml:space="preserve">k = K = 4</w:t>
      </w:r>
      <w:r>
        <w:rPr>
          <w:rFonts w:ascii="Georgia" w:cs="Georgia" w:eastAsia="Georgia" w:hAnsi="Georgia"/>
          <w:color w:val="333333"/>
          <w:sz w:val="22"/>
          <w:szCs w:val="22"/>
        </w:rPr>
        <w:t xml:space="preserve"> spans three structural values: </w:t>
      </w:r>
      <w:r>
        <w:rPr>
          <w:rFonts w:ascii="Cambria Math" w:cs="Cambria Math" w:eastAsia="Cambria Math" w:hAnsi="Cambria Math"/>
          <w:color w:val="222222"/>
          <w:sz w:val="22"/>
          <w:szCs w:val="22"/>
        </w:rPr>
        <w:t xml:space="preserve">f(+1) = 21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f(0) = 17</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f(−1) = 13</w:t>
      </w:r>
      <w:r>
        <w:rPr>
          <w:rFonts w:ascii="Georgia" w:cs="Georgia" w:eastAsia="Georgia" w:hAnsi="Georgia"/>
          <w:color w:val="333333"/>
          <w:sz w:val="22"/>
          <w:szCs w:val="22"/>
        </w:rPr>
        <w:t xml:space="preserve">, with range </w:t>
      </w:r>
      <w:r>
        <w:rPr>
          <w:rFonts w:ascii="Cambria Math" w:cs="Cambria Math" w:eastAsia="Cambria Math" w:hAnsi="Cambria Math"/>
          <w:color w:val="222222"/>
          <w:sz w:val="22"/>
          <w:szCs w:val="22"/>
        </w:rPr>
        <w:t xml:space="preserve">2K = 8 = 2ᴰ</w:t>
      </w:r>
      <w:r>
        <w:rPr>
          <w:rFonts w:ascii="Georgia" w:cs="Georgia" w:eastAsia="Georgia" w:hAnsi="Georgia"/>
          <w:color w:val="333333"/>
          <w:sz w:val="22"/>
          <w:szCs w:val="22"/>
        </w:rPr>
        <w:t xml:space="preserve">. Normalizing this polynomial to the unit interval produces the constitutive law </w:t>
      </w:r>
      <w:r>
        <w:rPr>
          <w:rFonts w:ascii="Cambria Math" w:cs="Cambria Math" w:eastAsia="Cambria Math" w:hAnsi="Cambria Math"/>
          <w:color w:val="222222"/>
          <w:sz w:val="22"/>
          <w:szCs w:val="22"/>
        </w:rPr>
        <w:t xml:space="preserve">μ(x) = x/(x+1)</w:t>
      </w:r>
      <w:r>
        <w:rPr>
          <w:rFonts w:ascii="Georgia" w:cs="Georgia" w:eastAsia="Georgia" w:hAnsi="Georgia"/>
          <w:color w:val="333333"/>
          <w:sz w:val="22"/>
          <w:szCs w:val="22"/>
        </w:rPr>
        <w:t xml:space="preserve">. The question addressed in this document is precise: </w:t>
      </w:r>
      <w:r>
        <w:rPr>
          <w:rFonts w:ascii="Georgia" w:cs="Georgia" w:eastAsia="Georgia" w:hAnsi="Georgia"/>
          <w:i/>
          <w:iCs/>
          <w:color w:val="333333"/>
          <w:sz w:val="22"/>
          <w:szCs w:val="22"/>
        </w:rPr>
        <w:t xml:space="preserve">What exactly is μ(x) within the GFD topology, and how does it relate to TetA, TetB, and the Field Origin?</w:t>
      </w:r>
    </w:p>
    <w:p>
      <w:pPr>
        <w:pStyle w:val="Heading1"/>
        <w:spacing w:before="360" w:after="120"/>
      </w:pPr>
      <w:r>
        <w:rPr>
          <w:rFonts w:ascii="Georgia" w:cs="Georgia" w:eastAsia="Georgia" w:hAnsi="Georgia"/>
          <w:b/>
          <w:bCs/>
          <w:color w:val="1B2A4A"/>
          <w:sz w:val="32"/>
          <w:szCs w:val="32"/>
        </w:rPr>
        <w:t xml:space="preserve">2.  The Coupling Polynomial and Its Three Terms</w:t>
      </w:r>
    </w:p>
    <w:p>
      <w:pPr>
        <w:spacing w:before="60" w:after="60"/>
        <w:jc w:val="both"/>
      </w:pPr>
      <w:r>
        <w:rPr>
          <w:rFonts w:ascii="Georgia" w:cs="Georgia" w:eastAsia="Georgia" w:hAnsi="Georgia"/>
          <w:color w:val="333333"/>
          <w:sz w:val="22"/>
          <w:szCs w:val="22"/>
        </w:rPr>
        <w:t xml:space="preserve">The coupling polynomial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is a quadratic in the closure constant </w:t>
      </w:r>
      <w:r>
        <w:rPr>
          <w:rFonts w:ascii="Cambria Math" w:cs="Cambria Math" w:eastAsia="Cambria Math" w:hAnsi="Cambria Math"/>
          <w:color w:val="222222"/>
          <w:sz w:val="22"/>
          <w:szCs w:val="22"/>
        </w:rPr>
        <w:t xml:space="preserve">k</w:t>
      </w:r>
      <w:r>
        <w:rPr>
          <w:rFonts w:ascii="Georgia" w:cs="Georgia" w:eastAsia="Georgia" w:hAnsi="Georgia"/>
          <w:color w:val="333333"/>
          <w:sz w:val="22"/>
          <w:szCs w:val="22"/>
        </w:rPr>
        <w:t xml:space="preserve"> parameterized by the gravitational state </w:t>
      </w:r>
      <w:r>
        <w:rPr>
          <w:rFonts w:ascii="Cambria Math" w:cs="Cambria Math" w:eastAsia="Cambria Math" w:hAnsi="Cambria Math"/>
          <w:color w:val="222222"/>
          <w:sz w:val="22"/>
          <w:szCs w:val="22"/>
        </w:rPr>
        <w:t xml:space="preserve">s ∈ [−1, +1]</w:t>
      </w:r>
      <w:r>
        <w:rPr>
          <w:rFonts w:ascii="Georgia" w:cs="Georgia" w:eastAsia="Georgia" w:hAnsi="Georgia"/>
          <w:color w:val="333333"/>
          <w:sz w:val="22"/>
          <w:szCs w:val="22"/>
        </w:rPr>
        <w:t xml:space="preserve">. Each of its three terms has a distinct geometric identity and a distinct dynamical role.</w:t>
      </w:r>
    </w:p>
    <w:p>
      <w:pPr>
        <w:pStyle w:val="Heading2"/>
        <w:spacing w:before="360" w:after="120"/>
      </w:pPr>
      <w:r>
        <w:rPr>
          <w:rFonts w:ascii="Georgia" w:cs="Georgia" w:eastAsia="Georgia" w:hAnsi="Georgia"/>
          <w:b/>
          <w:bCs/>
          <w:color w:val="1B2A4A"/>
          <w:sz w:val="26"/>
          <w:szCs w:val="26"/>
        </w:rPr>
        <w:t xml:space="preserve">2.1  The k² = 16 Term: Range</w:t>
      </w:r>
    </w:p>
    <w:p>
      <w:pPr>
        <w:spacing w:before="60" w:after="60"/>
        <w:jc w:val="both"/>
      </w:pPr>
      <w:r>
        <w:rPr>
          <w:rFonts w:ascii="Georgia" w:cs="Georgia" w:eastAsia="Georgia" w:hAnsi="Georgia"/>
          <w:color w:val="333333"/>
          <w:sz w:val="22"/>
          <w:szCs w:val="22"/>
        </w:rPr>
        <w:t xml:space="preserve">The quadratic term </w:t>
      </w:r>
      <w:r>
        <w:rPr>
          <w:rFonts w:ascii="Cambria Math" w:cs="Cambria Math" w:eastAsia="Cambria Math" w:hAnsi="Cambria Math"/>
          <w:color w:val="222222"/>
          <w:sz w:val="22"/>
          <w:szCs w:val="22"/>
        </w:rPr>
        <w:t xml:space="preserve">k² = K² = 16</w:t>
      </w:r>
      <w:r>
        <w:rPr>
          <w:rFonts w:ascii="Georgia" w:cs="Georgia" w:eastAsia="Georgia" w:hAnsi="Georgia"/>
          <w:color w:val="333333"/>
          <w:sz w:val="22"/>
          <w:szCs w:val="22"/>
        </w:rPr>
        <w:t xml:space="preserve"> is the face-coupling channel count. It arises from the medial triangle theorem: when one tetrahedron’s apex penetrates the opposing face of the dual, it subdivides that face into four triangular sub-regions. With </w:t>
      </w: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faces per tetrahedron and </w:t>
      </w: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sub-channels per face, the total cross-coupling structure is </w:t>
      </w:r>
      <w:r>
        <w:rPr>
          <w:rFonts w:ascii="Cambria Math" w:cs="Cambria Math" w:eastAsia="Cambria Math" w:hAnsi="Cambria Math"/>
          <w:color w:val="222222"/>
          <w:sz w:val="22"/>
          <w:szCs w:val="22"/>
        </w:rPr>
        <w:t xml:space="preserve">K² = 16</w:t>
      </w:r>
      <w:r>
        <w:rPr>
          <w:rFonts w:ascii="Georgia" w:cs="Georgia" w:eastAsia="Georgia" w:hAnsi="Georgia"/>
          <w:color w:val="333333"/>
          <w:sz w:val="22"/>
          <w:szCs w:val="22"/>
        </w:rPr>
        <w:t xml:space="preserve"> independent channels.</w:t>
      </w:r>
    </w:p>
    <w:p>
      <w:pPr>
        <w:spacing w:before="60" w:after="60"/>
        <w:jc w:val="both"/>
      </w:pPr>
      <w:r>
        <w:rPr>
          <w:rFonts w:ascii="Georgia" w:cs="Georgia" w:eastAsia="Georgia" w:hAnsi="Georgia"/>
          <w:color w:val="333333"/>
          <w:sz w:val="22"/>
          <w:szCs w:val="22"/>
        </w:rPr>
        <w:t xml:space="preserve">The </w:t>
      </w:r>
      <w:r>
        <w:rPr>
          <w:rFonts w:ascii="Cambria Math" w:cs="Cambria Math" w:eastAsia="Cambria Math" w:hAnsi="Cambria Math"/>
          <w:color w:val="222222"/>
          <w:sz w:val="22"/>
          <w:szCs w:val="22"/>
        </w:rPr>
        <w:t xml:space="preserve">k²</w:t>
      </w:r>
      <w:r>
        <w:rPr>
          <w:rFonts w:ascii="Georgia" w:cs="Georgia" w:eastAsia="Georgia" w:hAnsi="Georgia"/>
          <w:color w:val="333333"/>
          <w:sz w:val="22"/>
          <w:szCs w:val="22"/>
        </w:rPr>
        <w:t xml:space="preserve"> term is state-independent: it contributes identically at </w:t>
      </w:r>
      <w:r>
        <w:rPr>
          <w:rFonts w:ascii="Cambria Math" w:cs="Cambria Math" w:eastAsia="Cambria Math" w:hAnsi="Cambria Math"/>
          <w:color w:val="222222"/>
          <w:sz w:val="22"/>
          <w:szCs w:val="22"/>
        </w:rPr>
        <w:t xml:space="preserve">s = −1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 = 0</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s = +1</w:t>
      </w:r>
      <w:r>
        <w:rPr>
          <w:rFonts w:ascii="Georgia" w:cs="Georgia" w:eastAsia="Georgia" w:hAnsi="Georgia"/>
          <w:color w:val="333333"/>
          <w:sz w:val="22"/>
          <w:szCs w:val="22"/>
        </w:rPr>
        <w:t xml:space="preserve">. This reflects the topological nature of the face coupling — the 16 channels exist regardless of the gravitational state. The term sets the </w:t>
      </w:r>
      <w:r>
        <w:rPr>
          <w:rFonts w:ascii="Georgia" w:cs="Georgia" w:eastAsia="Georgia" w:hAnsi="Georgia"/>
          <w:i/>
          <w:iCs/>
          <w:color w:val="333333"/>
          <w:sz w:val="22"/>
          <w:szCs w:val="22"/>
        </w:rPr>
        <w:t xml:space="preserve">floor</w:t>
      </w:r>
      <w:r>
        <w:rPr>
          <w:rFonts w:ascii="Georgia" w:cs="Georgia" w:eastAsia="Georgia" w:hAnsi="Georgia"/>
          <w:color w:val="333333"/>
          <w:sz w:val="22"/>
          <w:szCs w:val="22"/>
        </w:rPr>
        <w:t xml:space="preserve"> of the polynomial, ensuring that </w:t>
      </w:r>
      <w:r>
        <w:rPr>
          <w:rFonts w:ascii="Cambria Math" w:cs="Cambria Math" w:eastAsia="Cambria Math" w:hAnsi="Cambria Math"/>
          <w:color w:val="222222"/>
          <w:sz w:val="22"/>
          <w:szCs w:val="22"/>
        </w:rPr>
        <w:t xml:space="preserve">f_min = 1 − K + K² = 13 &gt; 0</w:t>
      </w:r>
      <w:r>
        <w:rPr>
          <w:rFonts w:ascii="Georgia" w:cs="Georgia" w:eastAsia="Georgia" w:hAnsi="Georgia"/>
          <w:color w:val="333333"/>
          <w:sz w:val="22"/>
          <w:szCs w:val="22"/>
        </w:rPr>
        <w:t xml:space="preserve">. Without </w:t>
      </w:r>
      <w:r>
        <w:rPr>
          <w:rFonts w:ascii="Cambria Math" w:cs="Cambria Math" w:eastAsia="Cambria Math" w:hAnsi="Cambria Math"/>
          <w:color w:val="222222"/>
          <w:sz w:val="22"/>
          <w:szCs w:val="22"/>
        </w:rPr>
        <w:t xml:space="preserve">k²</w:t>
      </w:r>
      <w:r>
        <w:rPr>
          <w:rFonts w:ascii="Georgia" w:cs="Georgia" w:eastAsia="Georgia" w:hAnsi="Georgia"/>
          <w:color w:val="333333"/>
          <w:sz w:val="22"/>
          <w:szCs w:val="22"/>
        </w:rPr>
        <w:t xml:space="preserve">, the polynomial could take negative values (</w:t>
      </w:r>
      <w:r>
        <w:rPr>
          <w:rFonts w:ascii="Cambria Math" w:cs="Cambria Math" w:eastAsia="Cambria Math" w:hAnsi="Cambria Math"/>
          <w:color w:val="222222"/>
          <w:sz w:val="22"/>
          <w:szCs w:val="22"/>
        </w:rPr>
        <w:t xml:space="preserve">f_min = 1 − K = −3</w:t>
      </w:r>
      <w:r>
        <w:rPr>
          <w:rFonts w:ascii="Georgia" w:cs="Georgia" w:eastAsia="Georgia" w:hAnsi="Georgia"/>
          <w:color w:val="333333"/>
          <w:sz w:val="22"/>
          <w:szCs w:val="22"/>
        </w:rPr>
        <w:t xml:space="preserve">), breaking the normalization. The range </w:t>
      </w:r>
      <w:r>
        <w:rPr>
          <w:rFonts w:ascii="Cambria Math" w:cs="Cambria Math" w:eastAsia="Cambria Math" w:hAnsi="Cambria Math"/>
          <w:color w:val="222222"/>
          <w:sz w:val="22"/>
          <w:szCs w:val="22"/>
        </w:rPr>
        <w:t xml:space="preserve">F_{RANGE} = f_{max} − f_{min} = 2K = 8 = 2ᴰ</w:t>
      </w:r>
      <w:r>
        <w:rPr>
          <w:rFonts w:ascii="Georgia" w:cs="Georgia" w:eastAsia="Georgia" w:hAnsi="Georgia"/>
          <w:color w:val="333333"/>
          <w:sz w:val="22"/>
          <w:szCs w:val="22"/>
        </w:rPr>
        <w:t xml:space="preserve"> is both the normalization denominator for μ and the cardinality of the vertex space.</w:t>
      </w:r>
    </w:p>
    <w:p>
      <w:pPr>
        <w:spacing w:before="60" w:after="60"/>
        <w:jc w:val="both"/>
      </w:pPr>
      <w:r>
        <w:rPr>
          <w:rFonts w:ascii="Georgia" w:cs="Georgia" w:eastAsia="Georgia" w:hAnsi="Georgia"/>
          <w:color w:val="333333"/>
          <w:sz w:val="22"/>
          <w:szCs w:val="22"/>
        </w:rPr>
        <w:t xml:space="preserve">In the bimetric parameterization of Hassan and Rosen, </w:t>
      </w:r>
      <w:r>
        <w:rPr>
          <w:rFonts w:ascii="Cambria Math" w:cs="Cambria Math" w:eastAsia="Cambria Math" w:hAnsi="Cambria Math"/>
          <w:color w:val="222222"/>
          <w:sz w:val="22"/>
          <w:szCs w:val="22"/>
        </w:rPr>
        <w:t xml:space="preserve">k²</w:t>
      </w:r>
      <w:r>
        <w:rPr>
          <w:rFonts w:ascii="Georgia" w:cs="Georgia" w:eastAsia="Georgia" w:hAnsi="Georgia"/>
          <w:color w:val="333333"/>
          <w:sz w:val="22"/>
          <w:szCs w:val="22"/>
        </w:rPr>
        <w:t xml:space="preserve"> maps to the central coupling coefficient </w:t>
      </w:r>
      <w:r>
        <w:rPr>
          <w:rFonts w:ascii="Cambria Math" w:cs="Cambria Math" w:eastAsia="Cambria Math" w:hAnsi="Cambria Math"/>
          <w:color w:val="222222"/>
          <w:sz w:val="22"/>
          <w:szCs w:val="22"/>
        </w:rPr>
        <w:t xml:space="preserve">β₂ = K² = 16</w:t>
      </w:r>
      <w:r>
        <w:rPr>
          <w:rFonts w:ascii="Georgia" w:cs="Georgia" w:eastAsia="Georgia" w:hAnsi="Georgia"/>
          <w:color w:val="333333"/>
          <w:sz w:val="22"/>
          <w:szCs w:val="22"/>
        </w:rPr>
        <w:t xml:space="preserve">. This is the dominant term in the bimetric potential: at the proportional background </w:t>
      </w:r>
      <w:r>
        <w:rPr>
          <w:rFonts w:ascii="Cambria Math" w:cs="Cambria Math" w:eastAsia="Cambria Math" w:hAnsi="Cambria Math"/>
          <w:color w:val="222222"/>
          <w:sz w:val="22"/>
          <w:szCs w:val="22"/>
        </w:rPr>
        <w:t xml:space="preserve">S = I</w:t>
      </w:r>
      <w:r>
        <w:rPr>
          <w:rFonts w:ascii="Georgia" w:cs="Georgia" w:eastAsia="Georgia" w:hAnsi="Georgia"/>
          <w:color w:val="333333"/>
          <w:sz w:val="22"/>
          <w:szCs w:val="22"/>
        </w:rPr>
        <w:t xml:space="preserve">, the face coupling contributes </w:t>
      </w:r>
      <w:r>
        <w:rPr>
          <w:rFonts w:ascii="Cambria Math" w:cs="Cambria Math" w:eastAsia="Cambria Math" w:hAnsi="Cambria Math"/>
          <w:color w:val="222222"/>
          <w:sz w:val="22"/>
          <w:szCs w:val="22"/>
        </w:rPr>
        <w:t xml:space="preserve">β₂ × C(4,2) = 16 × 6 = 96</w:t>
      </w:r>
      <w:r>
        <w:rPr>
          <w:rFonts w:ascii="Georgia" w:cs="Georgia" w:eastAsia="Georgia" w:hAnsi="Georgia"/>
          <w:color w:val="333333"/>
          <w:sz w:val="22"/>
          <w:szCs w:val="22"/>
        </w:rPr>
        <w:t xml:space="preserve"> out of a total </w:t>
      </w:r>
      <w:r>
        <w:rPr>
          <w:rFonts w:ascii="Cambria Math" w:cs="Cambria Math" w:eastAsia="Cambria Math" w:hAnsi="Cambria Math"/>
          <w:color w:val="222222"/>
          <w:sz w:val="22"/>
          <w:szCs w:val="22"/>
        </w:rPr>
        <w:t xml:space="preserve">V(I) = 98</w:t>
      </w:r>
      <w:r>
        <w:rPr>
          <w:rFonts w:ascii="Georgia" w:cs="Georgia" w:eastAsia="Georgia" w:hAnsi="Georgia"/>
          <w:color w:val="333333"/>
          <w:sz w:val="22"/>
          <w:szCs w:val="22"/>
        </w:rPr>
        <w:t xml:space="preserve">, or 97.96% of the interaction energy. The self-coupling terms </w:t>
      </w:r>
      <w:r>
        <w:rPr>
          <w:rFonts w:ascii="Cambria Math" w:cs="Cambria Math" w:eastAsia="Cambria Math" w:hAnsi="Cambria Math"/>
          <w:color w:val="222222"/>
          <w:sz w:val="22"/>
          <w:szCs w:val="22"/>
        </w:rPr>
        <w:t xml:space="preserve">β₀ = β₄ = 1</w:t>
      </w:r>
      <w:r>
        <w:rPr>
          <w:rFonts w:ascii="Georgia" w:cs="Georgia" w:eastAsia="Georgia" w:hAnsi="Georgia"/>
          <w:color w:val="333333"/>
          <w:sz w:val="22"/>
          <w:szCs w:val="22"/>
        </w:rPr>
        <w:t xml:space="preserve"> contribute the remaining 2.04%.</w:t>
      </w:r>
    </w:p>
    <w:p>
      <w:pPr>
        <w:pStyle w:val="Heading2"/>
        <w:spacing w:before="360" w:after="120"/>
      </w:pPr>
      <w:r>
        <w:rPr>
          <w:rFonts w:ascii="Georgia" w:cs="Georgia" w:eastAsia="Georgia" w:hAnsi="Georgia"/>
          <w:b/>
          <w:bCs/>
          <w:color w:val="1B2A4A"/>
          <w:sz w:val="26"/>
          <w:szCs w:val="26"/>
        </w:rPr>
        <w:t xml:space="preserve">2.2  The sk Term: Flow</w:t>
      </w:r>
    </w:p>
    <w:p>
      <w:pPr>
        <w:spacing w:before="60" w:after="60"/>
        <w:jc w:val="both"/>
      </w:pPr>
      <w:r>
        <w:rPr>
          <w:rFonts w:ascii="Georgia" w:cs="Georgia" w:eastAsia="Georgia" w:hAnsi="Georgia"/>
          <w:color w:val="333333"/>
          <w:sz w:val="22"/>
          <w:szCs w:val="22"/>
        </w:rPr>
        <w:t xml:space="preserve">The middle term </w:t>
      </w:r>
      <w:r>
        <w:rPr>
          <w:rFonts w:ascii="Cambria Math" w:cs="Cambria Math" w:eastAsia="Cambria Math" w:hAnsi="Cambria Math"/>
          <w:color w:val="222222"/>
          <w:sz w:val="22"/>
          <w:szCs w:val="22"/>
        </w:rPr>
        <w:t xml:space="preserve">sk</w:t>
      </w:r>
      <w:r>
        <w:rPr>
          <w:rFonts w:ascii="Georgia" w:cs="Georgia" w:eastAsia="Georgia" w:hAnsi="Georgia"/>
          <w:color w:val="333333"/>
          <w:sz w:val="22"/>
          <w:szCs w:val="22"/>
        </w:rPr>
        <w:t xml:space="preserve"> is the only part of </w:t>
      </w:r>
      <w:r>
        <w:rPr>
          <w:rFonts w:ascii="Cambria Math" w:cs="Cambria Math" w:eastAsia="Cambria Math" w:hAnsi="Cambria Math"/>
          <w:color w:val="222222"/>
          <w:sz w:val="22"/>
          <w:szCs w:val="22"/>
        </w:rPr>
        <w:t xml:space="preserve">f(k,s)</w:t>
      </w:r>
      <w:r>
        <w:rPr>
          <w:rFonts w:ascii="Georgia" w:cs="Georgia" w:eastAsia="Georgia" w:hAnsi="Georgia"/>
          <w:color w:val="333333"/>
          <w:sz w:val="22"/>
          <w:szCs w:val="22"/>
        </w:rPr>
        <w:t xml:space="preserve"> that depends on the gravitational state </w:t>
      </w:r>
      <w:r>
        <w:rPr>
          <w:rFonts w:ascii="Cambria Math" w:cs="Cambria Math" w:eastAsia="Cambria Math" w:hAnsi="Cambria Math"/>
          <w:color w:val="222222"/>
          <w:sz w:val="22"/>
          <w:szCs w:val="22"/>
        </w:rPr>
        <w:t xml:space="preserve">s</w:t>
      </w:r>
      <w:r>
        <w:rPr>
          <w:rFonts w:ascii="Georgia" w:cs="Georgia" w:eastAsia="Georgia" w:hAnsi="Georgia"/>
          <w:color w:val="333333"/>
          <w:sz w:val="22"/>
          <w:szCs w:val="22"/>
        </w:rPr>
        <w:t xml:space="preserve">. Through the Möbius map </w:t>
      </w:r>
      <w:r>
        <w:rPr>
          <w:rFonts w:ascii="Cambria Math" w:cs="Cambria Math" w:eastAsia="Cambria Math" w:hAnsi="Cambria Math"/>
          <w:color w:val="222222"/>
          <w:sz w:val="22"/>
          <w:szCs w:val="22"/>
        </w:rPr>
        <w:t xml:space="preserve">s(x) = (x−1)/(x+1)</w:t>
      </w:r>
      <w:r>
        <w:rPr>
          <w:rFonts w:ascii="Georgia" w:cs="Georgia" w:eastAsia="Georgia" w:hAnsi="Georgia"/>
          <w:color w:val="333333"/>
          <w:sz w:val="22"/>
          <w:szCs w:val="22"/>
        </w:rPr>
        <w:t xml:space="preserve">, where </w:t>
      </w:r>
      <w:r>
        <w:rPr>
          <w:rFonts w:ascii="Cambria Math" w:cs="Cambria Math" w:eastAsia="Cambria Math" w:hAnsi="Cambria Math"/>
          <w:color w:val="222222"/>
          <w:sz w:val="22"/>
          <w:szCs w:val="22"/>
        </w:rPr>
        <w:t xml:space="preserve">x = g/a₀</w:t>
      </w:r>
      <w:r>
        <w:rPr>
          <w:rFonts w:ascii="Georgia" w:cs="Georgia" w:eastAsia="Georgia" w:hAnsi="Georgia"/>
          <w:color w:val="333333"/>
          <w:sz w:val="22"/>
          <w:szCs w:val="22"/>
        </w:rPr>
        <w:t xml:space="preserve"> is the acceleration ratio, it becomes the signal that moves the capacity function between its endpoints.</w:t>
      </w:r>
    </w:p>
    <w:p>
      <w:pPr>
        <w:spacing w:before="60" w:after="60"/>
        <w:jc w:val="both"/>
      </w:pPr>
      <w:r>
        <w:rPr>
          <w:rFonts w:ascii="Georgia" w:cs="Georgia" w:eastAsia="Georgia" w:hAnsi="Georgia"/>
          <w:color w:val="333333"/>
          <w:sz w:val="22"/>
          <w:szCs w:val="22"/>
        </w:rPr>
        <w:t xml:space="preserve">At the Field Origin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 = 0</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sk = 0</w:t>
      </w:r>
      <w:r>
        <w:rPr>
          <w:rFonts w:ascii="Georgia" w:cs="Georgia" w:eastAsia="Georgia" w:hAnsi="Georgia"/>
          <w:color w:val="333333"/>
          <w:sz w:val="22"/>
          <w:szCs w:val="22"/>
        </w:rPr>
        <w:t xml:space="preserve"> — no flow. The capacity is at its midpoint </w:t>
      </w:r>
      <w:r>
        <w:rPr>
          <w:rFonts w:ascii="Cambria Math" w:cs="Cambria Math" w:eastAsia="Cambria Math" w:hAnsi="Cambria Math"/>
          <w:color w:val="222222"/>
          <w:sz w:val="22"/>
          <w:szCs w:val="22"/>
        </w:rPr>
        <w:t xml:space="preserve">f = 17</w:t>
      </w:r>
      <w:r>
        <w:rPr>
          <w:rFonts w:ascii="Georgia" w:cs="Georgia" w:eastAsia="Georgia" w:hAnsi="Georgia"/>
          <w:color w:val="333333"/>
          <w:sz w:val="22"/>
          <w:szCs w:val="22"/>
        </w:rPr>
        <w:t xml:space="preserve">. In the deep MOND regime (</w:t>
      </w:r>
      <w:r>
        <w:rPr>
          <w:rFonts w:ascii="Cambria Math" w:cs="Cambria Math" w:eastAsia="Cambria Math" w:hAnsi="Cambria Math"/>
          <w:color w:val="222222"/>
          <w:sz w:val="22"/>
          <w:szCs w:val="22"/>
        </w:rPr>
        <w:t xml:space="preserve">x → 0</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 → −1</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sk → −K = −4</w:t>
      </w:r>
      <w:r>
        <w:rPr>
          <w:rFonts w:ascii="Georgia" w:cs="Georgia" w:eastAsia="Georgia" w:hAnsi="Georgia"/>
          <w:color w:val="333333"/>
          <w:sz w:val="22"/>
          <w:szCs w:val="22"/>
        </w:rPr>
        <w:t xml:space="preserve"> — maximal negative flow, </w:t>
      </w:r>
      <w:r>
        <w:rPr>
          <w:rFonts w:ascii="Cambria Math" w:cs="Cambria Math" w:eastAsia="Cambria Math" w:hAnsi="Cambria Math"/>
          <w:color w:val="222222"/>
          <w:sz w:val="22"/>
          <w:szCs w:val="22"/>
        </w:rPr>
        <w:t xml:space="preserve">f → 13</w:t>
      </w:r>
      <w:r>
        <w:rPr>
          <w:rFonts w:ascii="Georgia" w:cs="Georgia" w:eastAsia="Georgia" w:hAnsi="Georgia"/>
          <w:color w:val="333333"/>
          <w:sz w:val="22"/>
          <w:szCs w:val="22"/>
        </w:rPr>
        <w:t xml:space="preserve">. In the Newtonian regime (</w:t>
      </w:r>
      <w:r>
        <w:rPr>
          <w:rFonts w:ascii="Cambria Math" w:cs="Cambria Math" w:eastAsia="Cambria Math" w:hAnsi="Cambria Math"/>
          <w:color w:val="222222"/>
          <w:sz w:val="22"/>
          <w:szCs w:val="22"/>
        </w:rPr>
        <w:t xml:space="preserve">x → ∞</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 → +1</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sk → +K = +4</w:t>
      </w:r>
      <w:r>
        <w:rPr>
          <w:rFonts w:ascii="Georgia" w:cs="Georgia" w:eastAsia="Georgia" w:hAnsi="Georgia"/>
          <w:color w:val="333333"/>
          <w:sz w:val="22"/>
          <w:szCs w:val="22"/>
        </w:rPr>
        <w:t xml:space="preserve"> — maximal positive flow, </w:t>
      </w:r>
      <w:r>
        <w:rPr>
          <w:rFonts w:ascii="Cambria Math" w:cs="Cambria Math" w:eastAsia="Cambria Math" w:hAnsi="Cambria Math"/>
          <w:color w:val="222222"/>
          <w:sz w:val="22"/>
          <w:szCs w:val="22"/>
        </w:rPr>
        <w:t xml:space="preserve">f → 21</w:t>
      </w:r>
      <w:r>
        <w:rPr>
          <w:rFonts w:ascii="Georgia" w:cs="Georgia" w:eastAsia="Georgia" w:hAnsi="Georgia"/>
          <w:color w:val="333333"/>
          <w:sz w:val="22"/>
          <w:szCs w:val="22"/>
        </w:rPr>
        <w:t xml:space="preserve">. Without the </w:t>
      </w:r>
      <w:r>
        <w:rPr>
          <w:rFonts w:ascii="Cambria Math" w:cs="Cambria Math" w:eastAsia="Cambria Math" w:hAnsi="Cambria Math"/>
          <w:color w:val="222222"/>
          <w:sz w:val="22"/>
          <w:szCs w:val="22"/>
        </w:rPr>
        <w:t xml:space="preserve">sk</w:t>
      </w:r>
      <w:r>
        <w:rPr>
          <w:rFonts w:ascii="Georgia" w:cs="Georgia" w:eastAsia="Georgia" w:hAnsi="Georgia"/>
          <w:color w:val="333333"/>
          <w:sz w:val="22"/>
          <w:szCs w:val="22"/>
        </w:rPr>
        <w:t xml:space="preserve"> term, </w:t>
      </w:r>
      <w:r>
        <w:rPr>
          <w:rFonts w:ascii="Cambria Math" w:cs="Cambria Math" w:eastAsia="Cambria Math" w:hAnsi="Cambria Math"/>
          <w:color w:val="222222"/>
          <w:sz w:val="22"/>
          <w:szCs w:val="22"/>
        </w:rPr>
        <w:t xml:space="preserve">f = K² + 1 = 17</w:t>
      </w:r>
      <w:r>
        <w:rPr>
          <w:rFonts w:ascii="Georgia" w:cs="Georgia" w:eastAsia="Georgia" w:hAnsi="Georgia"/>
          <w:color w:val="333333"/>
          <w:sz w:val="22"/>
          <w:szCs w:val="22"/>
        </w:rPr>
        <w:t xml:space="preserve"> everywhere and μ would be frozen at 1/2. There would be no dynamics — no MOND regime, no Newtonian regime, just a static half-capacity state.</w:t>
      </w:r>
    </w:p>
    <w:p>
      <w:pPr>
        <w:spacing w:before="60" w:after="60"/>
        <w:jc w:val="both"/>
      </w:pPr>
      <w:r>
        <w:rPr>
          <w:rFonts w:ascii="Georgia" w:cs="Georgia" w:eastAsia="Georgia" w:hAnsi="Georgia"/>
          <w:color w:val="333333"/>
          <w:sz w:val="22"/>
          <w:szCs w:val="22"/>
        </w:rPr>
        <w:t xml:space="preserve">The </w:t>
      </w:r>
      <w:r>
        <w:rPr>
          <w:rFonts w:ascii="Cambria Math" w:cs="Cambria Math" w:eastAsia="Cambria Math" w:hAnsi="Cambria Math"/>
          <w:color w:val="222222"/>
          <w:sz w:val="22"/>
          <w:szCs w:val="22"/>
        </w:rPr>
        <w:t xml:space="preserve">sk</w:t>
      </w:r>
      <w:r>
        <w:rPr>
          <w:rFonts w:ascii="Georgia" w:cs="Georgia" w:eastAsia="Georgia" w:hAnsi="Georgia"/>
          <w:color w:val="333333"/>
          <w:sz w:val="22"/>
          <w:szCs w:val="22"/>
        </w:rPr>
        <w:t xml:space="preserve"> term is antisymmetric about the Field Origin: </w:t>
      </w:r>
      <w:r>
        <w:rPr>
          <w:rFonts w:ascii="Cambria Math" w:cs="Cambria Math" w:eastAsia="Cambria Math" w:hAnsi="Cambria Math"/>
          <w:color w:val="222222"/>
          <w:sz w:val="22"/>
          <w:szCs w:val="22"/>
        </w:rPr>
        <w:t xml:space="preserve">sk(1/x) = −sk(x)</w:t>
      </w:r>
      <w:r>
        <w:rPr>
          <w:rFonts w:ascii="Georgia" w:cs="Georgia" w:eastAsia="Georgia" w:hAnsi="Georgia"/>
          <w:color w:val="333333"/>
          <w:sz w:val="22"/>
          <w:szCs w:val="22"/>
        </w:rPr>
        <w:t xml:space="preserve">. This antisymmetry is the algebraic expression of the complement symmetry between TetA and TetB: whatever is Newtonian at acceleration </w:t>
      </w:r>
      <w:r>
        <w:rPr>
          <w:rFonts w:ascii="Cambria Math" w:cs="Cambria Math" w:eastAsia="Cambria Math" w:hAnsi="Cambria Math"/>
          <w:color w:val="222222"/>
          <w:sz w:val="22"/>
          <w:szCs w:val="22"/>
        </w:rPr>
        <w:t xml:space="preserve">x</w:t>
      </w:r>
      <w:r>
        <w:rPr>
          <w:rFonts w:ascii="Georgia" w:cs="Georgia" w:eastAsia="Georgia" w:hAnsi="Georgia"/>
          <w:color w:val="333333"/>
          <w:sz w:val="22"/>
          <w:szCs w:val="22"/>
        </w:rPr>
        <w:t xml:space="preserve"> is field-dominated at </w:t>
      </w:r>
      <w:r>
        <w:rPr>
          <w:rFonts w:ascii="Cambria Math" w:cs="Cambria Math" w:eastAsia="Cambria Math" w:hAnsi="Cambria Math"/>
          <w:color w:val="222222"/>
          <w:sz w:val="22"/>
          <w:szCs w:val="22"/>
        </w:rPr>
        <w:t xml:space="preserve">1/x</w:t>
      </w:r>
      <w:r>
        <w:rPr>
          <w:rFonts w:ascii="Georgia" w:cs="Georgia" w:eastAsia="Georgia" w:hAnsi="Georgia"/>
          <w:color w:val="333333"/>
          <w:sz w:val="22"/>
          <w:szCs w:val="22"/>
        </w:rPr>
        <w:t xml:space="preserve">.</w:t>
      </w:r>
    </w:p>
    <w:p>
      <w:pPr>
        <w:pStyle w:val="Heading2"/>
        <w:spacing w:before="360" w:after="120"/>
      </w:pPr>
      <w:r>
        <w:rPr>
          <w:rFonts w:ascii="Georgia" w:cs="Georgia" w:eastAsia="Georgia" w:hAnsi="Georgia"/>
          <w:b/>
          <w:bCs/>
          <w:color w:val="1B2A4A"/>
          <w:sz w:val="26"/>
          <w:szCs w:val="26"/>
        </w:rPr>
        <w:t xml:space="preserve">2.3  The k⁰ = 1 Term: Saturation</w:t>
      </w:r>
    </w:p>
    <w:p>
      <w:pPr>
        <w:spacing w:before="60" w:after="60"/>
        <w:jc w:val="both"/>
      </w:pPr>
      <w:r>
        <w:rPr>
          <w:rFonts w:ascii="Georgia" w:cs="Georgia" w:eastAsia="Georgia" w:hAnsi="Georgia"/>
          <w:color w:val="333333"/>
          <w:sz w:val="22"/>
          <w:szCs w:val="22"/>
        </w:rPr>
        <w:t xml:space="preserve">The constant term </w:t>
      </w: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is the Field Origin — the unique point at the geometric center of the stellated octahedron where all eight compression vectors cancel exactly. It is equidistant from every vertex at distance </w:t>
      </w:r>
      <w:r>
        <w:rPr>
          <w:rFonts w:ascii="Cambria Math" w:cs="Cambria Math" w:eastAsia="Cambria Math" w:hAnsi="Cambria Math"/>
          <w:color w:val="222222"/>
          <w:sz w:val="22"/>
          <w:szCs w:val="22"/>
        </w:rPr>
        <w:t xml:space="preserve">√3</w:t>
      </w:r>
      <w:r>
        <w:rPr>
          <w:rFonts w:ascii="Georgia" w:cs="Georgia" w:eastAsia="Georgia" w:hAnsi="Georgia"/>
          <w:color w:val="333333"/>
          <w:sz w:val="22"/>
          <w:szCs w:val="22"/>
        </w:rPr>
        <w:t xml:space="preserve">. Topologically, it is the single shared point where TetA and TetB interpenetrate most deeply.</w:t>
      </w:r>
    </w:p>
    <w:p>
      <w:pPr>
        <w:spacing w:before="60" w:after="60"/>
        <w:jc w:val="both"/>
      </w:pPr>
      <w:r>
        <w:rPr>
          <w:rFonts w:ascii="Georgia" w:cs="Georgia" w:eastAsia="Georgia" w:hAnsi="Georgia"/>
          <w:color w:val="333333"/>
          <w:sz w:val="22"/>
          <w:szCs w:val="22"/>
        </w:rPr>
        <w:t xml:space="preserve">In the language of surface chemistry, the Field Origin acts as a single adsorption site processing a gravitational signal of strength </w:t>
      </w:r>
      <w:r>
        <w:rPr>
          <w:rFonts w:ascii="Cambria Math" w:cs="Cambria Math" w:eastAsia="Cambria Math" w:hAnsi="Cambria Math"/>
          <w:color w:val="222222"/>
          <w:sz w:val="22"/>
          <w:szCs w:val="22"/>
        </w:rPr>
        <w:t xml:space="preserve">x</w:t>
      </w:r>
      <w:r>
        <w:rPr>
          <w:rFonts w:ascii="Georgia" w:cs="Georgia" w:eastAsia="Georgia" w:hAnsi="Georgia"/>
          <w:color w:val="333333"/>
          <w:sz w:val="22"/>
          <w:szCs w:val="22"/>
        </w:rPr>
        <w:t xml:space="preserve">. The resulting saturation kinetics follow the Langmuir isotherm for </w:t>
      </w:r>
      <w:r>
        <w:rPr>
          <w:rFonts w:ascii="Cambria Math" w:cs="Cambria Math" w:eastAsia="Cambria Math" w:hAnsi="Cambria Math"/>
          <w:color w:val="222222"/>
          <w:sz w:val="22"/>
          <w:szCs w:val="22"/>
        </w:rPr>
        <w:t xml:space="preserve">n = 1</w:t>
      </w:r>
      <w:r>
        <w:rPr>
          <w:rFonts w:ascii="Georgia" w:cs="Georgia" w:eastAsia="Georgia" w:hAnsi="Georgia"/>
          <w:color w:val="333333"/>
          <w:sz w:val="22"/>
          <w:szCs w:val="22"/>
        </w:rPr>
        <w:t xml:space="preserve"> site:</w:t>
      </w:r>
    </w:p>
    <w:p>
      <w:pPr>
        <w:shd w:fill="F0F4F8" w:val="clear"/>
        <w:spacing w:before="160" w:after="160"/>
        <w:jc w:val="center"/>
      </w:pPr>
      <w:r>
        <w:rPr>
          <w:rFonts w:ascii="Cambria Math" w:cs="Cambria Math" w:eastAsia="Cambria Math" w:hAnsi="Cambria Math"/>
          <w:color w:val="1B2A4A"/>
          <w:sz w:val="24"/>
          <w:szCs w:val="24"/>
        </w:rPr>
        <w:t xml:space="preserve">μ₁(x) = x¹ / (1 + x¹) = x / (x + 1)</w:t>
      </w:r>
    </w:p>
    <w:p>
      <w:pPr>
        <w:spacing w:before="60" w:after="60"/>
        <w:jc w:val="both"/>
      </w:pPr>
      <w:r>
        <w:rPr>
          <w:rFonts w:ascii="Georgia" w:cs="Georgia" w:eastAsia="Georgia" w:hAnsi="Georgia"/>
          <w:color w:val="333333"/>
          <w:sz w:val="22"/>
          <w:szCs w:val="22"/>
        </w:rPr>
        <w:t xml:space="preserve">The “1” in the denominator of </w:t>
      </w:r>
      <w:r>
        <w:rPr>
          <w:rFonts w:ascii="Cambria Math" w:cs="Cambria Math" w:eastAsia="Cambria Math" w:hAnsi="Cambria Math"/>
          <w:color w:val="222222"/>
          <w:sz w:val="22"/>
          <w:szCs w:val="22"/>
        </w:rPr>
        <w:t xml:space="preserve">μ = x/(x+1)</w:t>
      </w:r>
      <w:r>
        <w:rPr>
          <w:rFonts w:ascii="Georgia" w:cs="Georgia" w:eastAsia="Georgia" w:hAnsi="Georgia"/>
          <w:color w:val="333333"/>
          <w:sz w:val="22"/>
          <w:szCs w:val="22"/>
        </w:rPr>
        <w:t xml:space="preserve"> is the </w:t>
      </w: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term. If </w:t>
      </w:r>
      <w:r>
        <w:rPr>
          <w:rFonts w:ascii="Cambria Math" w:cs="Cambria Math" w:eastAsia="Cambria Math" w:hAnsi="Cambria Math"/>
          <w:color w:val="222222"/>
          <w:sz w:val="22"/>
          <w:szCs w:val="22"/>
        </w:rPr>
        <w:t xml:space="preserve">k⁰</w:t>
      </w:r>
      <w:r>
        <w:rPr>
          <w:rFonts w:ascii="Georgia" w:cs="Georgia" w:eastAsia="Georgia" w:hAnsi="Georgia"/>
          <w:color w:val="333333"/>
          <w:sz w:val="22"/>
          <w:szCs w:val="22"/>
        </w:rPr>
        <w:t xml:space="preserve"> were </w:t>
      </w:r>
      <w:r>
        <w:rPr>
          <w:rFonts w:ascii="Cambria Math" w:cs="Cambria Math" w:eastAsia="Cambria Math" w:hAnsi="Cambria Math"/>
          <w:color w:val="222222"/>
          <w:sz w:val="22"/>
          <w:szCs w:val="22"/>
        </w:rPr>
        <w:t xml:space="preserve">c ≠ 1</w:t>
      </w:r>
      <w:r>
        <w:rPr>
          <w:rFonts w:ascii="Georgia" w:cs="Georgia" w:eastAsia="Georgia" w:hAnsi="Georgia"/>
          <w:color w:val="333333"/>
          <w:sz w:val="22"/>
          <w:szCs w:val="22"/>
        </w:rPr>
        <w:t xml:space="preserve">, the Möbius map would become </w:t>
      </w:r>
      <w:r>
        <w:rPr>
          <w:rFonts w:ascii="Cambria Math" w:cs="Cambria Math" w:eastAsia="Cambria Math" w:hAnsi="Cambria Math"/>
          <w:color w:val="222222"/>
          <w:sz w:val="22"/>
          <w:szCs w:val="22"/>
        </w:rPr>
        <w:t xml:space="preserve">s_c(x) = (x−c)/(x+c)</w:t>
      </w:r>
      <w:r>
        <w:rPr>
          <w:rFonts w:ascii="Georgia" w:cs="Georgia" w:eastAsia="Georgia" w:hAnsi="Georgia"/>
          <w:color w:val="333333"/>
          <w:sz w:val="22"/>
          <w:szCs w:val="22"/>
        </w:rPr>
        <w:t xml:space="preserve">, placing the Field Origin at </w:t>
      </w:r>
      <w:r>
        <w:rPr>
          <w:rFonts w:ascii="Cambria Math" w:cs="Cambria Math" w:eastAsia="Cambria Math" w:hAnsi="Cambria Math"/>
          <w:color w:val="222222"/>
          <w:sz w:val="22"/>
          <w:szCs w:val="22"/>
        </w:rPr>
        <w:t xml:space="preserve">x = c</w:t>
      </w:r>
      <w:r>
        <w:rPr>
          <w:rFonts w:ascii="Georgia" w:cs="Georgia" w:eastAsia="Georgia" w:hAnsi="Georgia"/>
          <w:color w:val="333333"/>
          <w:sz w:val="22"/>
          <w:szCs w:val="22"/>
        </w:rPr>
        <w:t xml:space="preserve"> and producing </w:t>
      </w:r>
      <w:r>
        <w:rPr>
          <w:rFonts w:ascii="Cambria Math" w:cs="Cambria Math" w:eastAsia="Cambria Math" w:hAnsi="Cambria Math"/>
          <w:color w:val="222222"/>
          <w:sz w:val="22"/>
          <w:szCs w:val="22"/>
        </w:rPr>
        <w:t xml:space="preserve">μ_c = x/(x+c)</w:t>
      </w:r>
      <w:r>
        <w:rPr>
          <w:rFonts w:ascii="Georgia" w:cs="Georgia" w:eastAsia="Georgia" w:hAnsi="Georgia"/>
          <w:color w:val="333333"/>
          <w:sz w:val="22"/>
          <w:szCs w:val="22"/>
        </w:rPr>
        <w:t xml:space="preserve">. Only </w:t>
      </w:r>
      <w:r>
        <w:rPr>
          <w:rFonts w:ascii="Cambria Math" w:cs="Cambria Math" w:eastAsia="Cambria Math" w:hAnsi="Cambria Math"/>
          <w:color w:val="222222"/>
          <w:sz w:val="22"/>
          <w:szCs w:val="22"/>
        </w:rPr>
        <w:t xml:space="preserve">c = 1</w:t>
      </w:r>
      <w:r>
        <w:rPr>
          <w:rFonts w:ascii="Georgia" w:cs="Georgia" w:eastAsia="Georgia" w:hAnsi="Georgia"/>
          <w:color w:val="333333"/>
          <w:sz w:val="22"/>
          <w:szCs w:val="22"/>
        </w:rPr>
        <w:t xml:space="preserve"> gives the transition at unit acceleration ratio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the natural normalization.</w:t>
      </w:r>
    </w:p>
    <w:p>
      <w:pPr>
        <w:spacing w:before="60" w:after="60"/>
        <w:jc w:val="both"/>
      </w:pPr>
      <w:r>
        <w:rPr>
          <w:rFonts w:ascii="Georgia" w:cs="Georgia" w:eastAsia="Georgia" w:hAnsi="Georgia"/>
          <w:color w:val="333333"/>
          <w:sz w:val="22"/>
          <w:szCs w:val="22"/>
        </w:rPr>
        <w:t xml:space="preserve">The approach to saturation confirms the single-site character. For N=1: </w:t>
      </w:r>
      <w:r>
        <w:rPr>
          <w:rFonts w:ascii="Cambria Math" w:cs="Cambria Math" w:eastAsia="Cambria Math" w:hAnsi="Cambria Math"/>
          <w:color w:val="222222"/>
          <w:sz w:val="22"/>
          <w:szCs w:val="22"/>
        </w:rPr>
        <w:t xml:space="preserve">1 − μ = 1/(x+1)</w:t>
      </w:r>
      <w:r>
        <w:rPr>
          <w:rFonts w:ascii="Georgia" w:cs="Georgia" w:eastAsia="Georgia" w:hAnsi="Georgia"/>
          <w:color w:val="333333"/>
          <w:sz w:val="22"/>
          <w:szCs w:val="22"/>
        </w:rPr>
        <w:t xml:space="preserve">, decaying as </w:t>
      </w:r>
      <w:r>
        <w:rPr>
          <w:rFonts w:ascii="Cambria Math" w:cs="Cambria Math" w:eastAsia="Cambria Math" w:hAnsi="Cambria Math"/>
          <w:color w:val="222222"/>
          <w:sz w:val="22"/>
          <w:szCs w:val="22"/>
        </w:rPr>
        <w:t xml:space="preserve">1/x</w:t>
      </w:r>
      <w:r>
        <w:rPr>
          <w:rFonts w:ascii="Georgia" w:cs="Georgia" w:eastAsia="Georgia" w:hAnsi="Georgia"/>
          <w:color w:val="333333"/>
          <w:sz w:val="22"/>
          <w:szCs w:val="22"/>
        </w:rPr>
        <w:t xml:space="preserve"> for large </w:t>
      </w:r>
      <w:r>
        <w:rPr>
          <w:rFonts w:ascii="Cambria Math" w:cs="Cambria Math" w:eastAsia="Cambria Math" w:hAnsi="Cambria Math"/>
          <w:color w:val="222222"/>
          <w:sz w:val="22"/>
          <w:szCs w:val="22"/>
        </w:rPr>
        <w:t xml:space="preserve">x</w:t>
      </w:r>
      <w:r>
        <w:rPr>
          <w:rFonts w:ascii="Georgia" w:cs="Georgia" w:eastAsia="Georgia" w:hAnsi="Georgia"/>
          <w:color w:val="333333"/>
          <w:sz w:val="22"/>
          <w:szCs w:val="22"/>
        </w:rPr>
        <w:t xml:space="preserve">. For N=2: </w:t>
      </w:r>
      <w:r>
        <w:rPr>
          <w:rFonts w:ascii="Cambria Math" w:cs="Cambria Math" w:eastAsia="Cambria Math" w:hAnsi="Cambria Math"/>
          <w:color w:val="222222"/>
          <w:sz w:val="22"/>
          <w:szCs w:val="22"/>
        </w:rPr>
        <w:t xml:space="preserve">1 − μ ∼ 1/√x</w:t>
      </w:r>
      <w:r>
        <w:rPr>
          <w:rFonts w:ascii="Georgia" w:cs="Georgia" w:eastAsia="Georgia" w:hAnsi="Georgia"/>
          <w:color w:val="333333"/>
          <w:sz w:val="22"/>
          <w:szCs w:val="22"/>
        </w:rPr>
        <w:t xml:space="preserve">, fundamentally different and not reducible to any multi-site Langmuir form. The N=2 behavior arises from both chambers screening independently through their respective face geometries, not from multiple sites at the Field Origin.</w:t>
      </w:r>
    </w:p>
    <w:p>
      <w:pPr>
        <w:pStyle w:val="Heading1"/>
        <w:spacing w:before="360" w:after="120"/>
      </w:pPr>
      <w:r>
        <w:rPr>
          <w:rFonts w:ascii="Georgia" w:cs="Georgia" w:eastAsia="Georgia" w:hAnsi="Georgia"/>
          <w:b/>
          <w:bCs/>
          <w:color w:val="1B2A4A"/>
          <w:sz w:val="32"/>
          <w:szCs w:val="32"/>
        </w:rPr>
        <w:t xml:space="preserve">3.  Assembly: From Three Terms to the Constitutive Law</w:t>
      </w:r>
    </w:p>
    <w:p>
      <w:pPr>
        <w:spacing w:before="60" w:after="60"/>
        <w:jc w:val="both"/>
      </w:pPr>
      <w:r>
        <w:rPr>
          <w:rFonts w:ascii="Georgia" w:cs="Georgia" w:eastAsia="Georgia" w:hAnsi="Georgia"/>
          <w:color w:val="333333"/>
          <w:sz w:val="22"/>
          <w:szCs w:val="22"/>
        </w:rPr>
        <w:t xml:space="preserve">The Möbius map </w:t>
      </w:r>
      <w:r>
        <w:rPr>
          <w:rFonts w:ascii="Cambria Math" w:cs="Cambria Math" w:eastAsia="Cambria Math" w:hAnsi="Cambria Math"/>
          <w:color w:val="222222"/>
          <w:sz w:val="22"/>
          <w:szCs w:val="22"/>
        </w:rPr>
        <w:t xml:space="preserve">s(x) = (x−1)/(x+1)</w:t>
      </w:r>
      <w:r>
        <w:rPr>
          <w:rFonts w:ascii="Georgia" w:cs="Georgia" w:eastAsia="Georgia" w:hAnsi="Georgia"/>
          <w:color w:val="333333"/>
          <w:sz w:val="22"/>
          <w:szCs w:val="22"/>
        </w:rPr>
        <w:t xml:space="preserve"> is uniquely determined by three field-closure constraints: </w:t>
      </w:r>
      <w:r>
        <w:rPr>
          <w:rFonts w:ascii="Cambria Math" w:cs="Cambria Math" w:eastAsia="Cambria Math" w:hAnsi="Cambria Math"/>
          <w:color w:val="222222"/>
          <w:sz w:val="22"/>
          <w:szCs w:val="22"/>
        </w:rPr>
        <w:t xml:space="preserve">s(0) = −1</w:t>
      </w:r>
      <w:r>
        <w:rPr>
          <w:rFonts w:ascii="Georgia" w:cs="Georgia" w:eastAsia="Georgia" w:hAnsi="Georgia"/>
          <w:color w:val="333333"/>
          <w:sz w:val="22"/>
          <w:szCs w:val="22"/>
        </w:rPr>
        <w:t xml:space="preserve"> (TetB endpoint), </w:t>
      </w:r>
      <w:r>
        <w:rPr>
          <w:rFonts w:ascii="Cambria Math" w:cs="Cambria Math" w:eastAsia="Cambria Math" w:hAnsi="Cambria Math"/>
          <w:color w:val="222222"/>
          <w:sz w:val="22"/>
          <w:szCs w:val="22"/>
        </w:rPr>
        <w:t xml:space="preserve">s(∞) = +1</w:t>
      </w:r>
      <w:r>
        <w:rPr>
          <w:rFonts w:ascii="Georgia" w:cs="Georgia" w:eastAsia="Georgia" w:hAnsi="Georgia"/>
          <w:color w:val="333333"/>
          <w:sz w:val="22"/>
          <w:szCs w:val="22"/>
        </w:rPr>
        <w:t xml:space="preserve"> (TetA endpoint), </w:t>
      </w:r>
      <w:r>
        <w:rPr>
          <w:rFonts w:ascii="Cambria Math" w:cs="Cambria Math" w:eastAsia="Cambria Math" w:hAnsi="Cambria Math"/>
          <w:color w:val="222222"/>
          <w:sz w:val="22"/>
          <w:szCs w:val="22"/>
        </w:rPr>
        <w:t xml:space="preserve">s(1) = 0</w:t>
      </w:r>
      <w:r>
        <w:rPr>
          <w:rFonts w:ascii="Georgia" w:cs="Georgia" w:eastAsia="Georgia" w:hAnsi="Georgia"/>
          <w:color w:val="333333"/>
          <w:sz w:val="22"/>
          <w:szCs w:val="22"/>
        </w:rPr>
        <w:t xml:space="preserve"> (Field Origin). A Möbius transformation </w:t>
      </w:r>
      <w:r>
        <w:rPr>
          <w:rFonts w:ascii="Cambria Math" w:cs="Cambria Math" w:eastAsia="Cambria Math" w:hAnsi="Cambria Math"/>
          <w:color w:val="222222"/>
          <w:sz w:val="22"/>
          <w:szCs w:val="22"/>
        </w:rPr>
        <w:t xml:space="preserve">s(x) = (ax+b)/(cx+d)</w:t>
      </w:r>
      <w:r>
        <w:rPr>
          <w:rFonts w:ascii="Georgia" w:cs="Georgia" w:eastAsia="Georgia" w:hAnsi="Georgia"/>
          <w:color w:val="333333"/>
          <w:sz w:val="22"/>
          <w:szCs w:val="22"/>
        </w:rPr>
        <w:t xml:space="preserve"> has three free parameters after projective normalization. Three constraints, three unknowns: the system is exactly determined. The involution property (algebraic invertibility: </w:t>
      </w:r>
      <w:r>
        <w:rPr>
          <w:rFonts w:ascii="Cambria Math" w:cs="Cambria Math" w:eastAsia="Cambria Math" w:hAnsi="Cambria Math"/>
          <w:color w:val="222222"/>
          <w:sz w:val="22"/>
          <w:szCs w:val="22"/>
        </w:rPr>
        <w:t xml:space="preserve">x = (1+s)/(1−s)</w:t>
      </w:r>
      <w:r>
        <w:rPr>
          <w:rFonts w:ascii="Georgia" w:cs="Georgia" w:eastAsia="Georgia" w:hAnsi="Georgia"/>
          <w:color w:val="333333"/>
          <w:sz w:val="22"/>
          <w:szCs w:val="22"/>
        </w:rPr>
        <w:t xml:space="preserve">) is automatic, not an additional assumption.</w:t>
      </w:r>
    </w:p>
    <w:p>
      <w:pPr>
        <w:spacing w:before="60" w:after="60"/>
        <w:jc w:val="both"/>
      </w:pPr>
      <w:r>
        <w:rPr>
          <w:rFonts w:ascii="Georgia" w:cs="Georgia" w:eastAsia="Georgia" w:hAnsi="Georgia"/>
          <w:color w:val="333333"/>
          <w:sz w:val="22"/>
          <w:szCs w:val="22"/>
        </w:rPr>
        <w:t xml:space="preserve">Composing the three terms:</w:t>
      </w:r>
    </w:p>
    <w:p>
      <w:pPr>
        <w:shd w:fill="F0F4F8" w:val="clear"/>
        <w:spacing w:before="160" w:after="160"/>
        <w:jc w:val="center"/>
      </w:pPr>
      <w:r>
        <w:rPr>
          <w:rFonts w:ascii="Cambria Math" w:cs="Cambria Math" w:eastAsia="Cambria Math" w:hAnsi="Cambria Math"/>
          <w:color w:val="1B2A4A"/>
          <w:sz w:val="24"/>
          <w:szCs w:val="24"/>
        </w:rPr>
        <w:t xml:space="preserve">f(x) = k² + s(x)·k + k⁰ = 16 + 4(x−1)/(x+1) + 1 = (21x + 13)/(x + 1)</w:t>
      </w:r>
    </w:p>
    <w:p>
      <w:pPr>
        <w:spacing w:before="60" w:after="60"/>
        <w:jc w:val="both"/>
      </w:pPr>
      <w:r>
        <w:rPr>
          <w:rFonts w:ascii="Georgia" w:cs="Georgia" w:eastAsia="Georgia" w:hAnsi="Georgia"/>
          <w:color w:val="333333"/>
          <w:sz w:val="22"/>
          <w:szCs w:val="22"/>
        </w:rPr>
        <w:t xml:space="preserve">Normalizing to the unit interval:</w:t>
      </w:r>
    </w:p>
    <w:p>
      <w:pPr>
        <w:shd w:fill="F0F4F8" w:val="clear"/>
        <w:spacing w:before="160" w:after="160"/>
        <w:jc w:val="center"/>
      </w:pPr>
      <w:r>
        <w:rPr>
          <w:rFonts w:ascii="Cambria Math" w:cs="Cambria Math" w:eastAsia="Cambria Math" w:hAnsi="Cambria Math"/>
          <w:color w:val="1B2A4A"/>
          <w:sz w:val="24"/>
          <w:szCs w:val="24"/>
        </w:rPr>
        <w:t xml:space="preserve">μ(x) = (f(x) − f_{min}) / f_{range} = (f − 13) / 8 = x / (x + 1)</w:t>
      </w:r>
    </w:p>
    <w:p>
      <w:pPr>
        <w:spacing w:before="60" w:after="60"/>
        <w:jc w:val="both"/>
      </w:pPr>
      <w:r>
        <w:rPr>
          <w:rFonts w:ascii="Georgia" w:cs="Georgia" w:eastAsia="Georgia" w:hAnsi="Georgia"/>
          <w:color w:val="333333"/>
          <w:sz w:val="22"/>
          <w:szCs w:val="22"/>
        </w:rPr>
        <w:t xml:space="preserve">The screening equation </w:t>
      </w:r>
      <w:r>
        <w:rPr>
          <w:rFonts w:ascii="Cambria Math" w:cs="Cambria Math" w:eastAsia="Cambria Math" w:hAnsi="Cambria Math"/>
          <w:color w:val="222222"/>
          <w:sz w:val="22"/>
          <w:szCs w:val="22"/>
        </w:rPr>
        <w:t xml:space="preserve">x(1−μ) = μ</w:t>
      </w:r>
      <w:r>
        <w:rPr>
          <w:rFonts w:ascii="Georgia" w:cs="Georgia" w:eastAsia="Georgia" w:hAnsi="Georgia"/>
          <w:color w:val="333333"/>
          <w:sz w:val="22"/>
          <w:szCs w:val="22"/>
        </w:rPr>
        <w:t xml:space="preserve"> is not imposed externally. It is the algebraic identity that </w:t>
      </w:r>
      <w:r>
        <w:rPr>
          <w:rFonts w:ascii="Georgia" w:cs="Georgia" w:eastAsia="Georgia" w:hAnsi="Georgia"/>
          <w:i/>
          <w:iCs/>
          <w:color w:val="333333"/>
          <w:sz w:val="22"/>
          <w:szCs w:val="22"/>
        </w:rPr>
        <w:t xml:space="preserve">defines</w:t>
      </w:r>
      <w:r>
        <w:rPr>
          <w:rFonts w:ascii="Georgia" w:cs="Georgia" w:eastAsia="Georgia" w:hAnsi="Georgia"/>
          <w:color w:val="333333"/>
          <w:sz w:val="22"/>
          <w:szCs w:val="22"/>
        </w:rPr>
        <w:t xml:space="preserve"> μ as normalized capacity. The factor </w:t>
      </w:r>
      <w:r>
        <w:rPr>
          <w:rFonts w:ascii="Cambria Math" w:cs="Cambria Math" w:eastAsia="Cambria Math" w:hAnsi="Cambria Math"/>
          <w:color w:val="222222"/>
          <w:sz w:val="22"/>
          <w:szCs w:val="22"/>
        </w:rPr>
        <w:t xml:space="preserve">(1−μ) = (f_{max} − f)/f_{range}</w:t>
      </w:r>
      <w:r>
        <w:rPr>
          <w:rFonts w:ascii="Georgia" w:cs="Georgia" w:eastAsia="Georgia" w:hAnsi="Georgia"/>
          <w:color w:val="333333"/>
          <w:sz w:val="22"/>
          <w:szCs w:val="22"/>
        </w:rPr>
        <w:t xml:space="preserve"> is the fraction of coupling capacity still available. The screening equation reads: </w:t>
      </w:r>
      <w:r>
        <w:rPr>
          <w:rFonts w:ascii="Georgia" w:cs="Georgia" w:eastAsia="Georgia" w:hAnsi="Georgia"/>
          <w:i/>
          <w:iCs/>
          <w:color w:val="333333"/>
          <w:sz w:val="22"/>
          <w:szCs w:val="22"/>
        </w:rPr>
        <w:t xml:space="preserve">signal × remaining capacity = used capacity</w:t>
      </w:r>
      <w:r>
        <w:rPr>
          <w:rFonts w:ascii="Georgia" w:cs="Georgia" w:eastAsia="Georgia" w:hAnsi="Georgia"/>
          <w:color w:val="333333"/>
          <w:sz w:val="22"/>
          <w:szCs w:val="22"/>
        </w:rPr>
        <w:t xml:space="preserve">. This is a balance equation on the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-dial, not a postulate.</w:t>
      </w:r>
    </w:p>
    <w:p>
      <w:pPr>
        <w:pStyle w:val="Heading1"/>
        <w:spacing w:before="360" w:after="120"/>
      </w:pPr>
      <w:r>
        <w:rPr>
          <w:rFonts w:ascii="Georgia" w:cs="Georgia" w:eastAsia="Georgia" w:hAnsi="Georgia"/>
          <w:b/>
          <w:bCs/>
          <w:color w:val="1B2A4A"/>
          <w:sz w:val="32"/>
          <w:szCs w:val="32"/>
        </w:rPr>
        <w:t xml:space="preserve">4.  The Physical Identification</w:t>
      </w:r>
    </w:p>
    <w:p>
      <w:pPr>
        <w:spacing w:before="60" w:after="60"/>
        <w:jc w:val="both"/>
      </w:pPr>
      <w:r>
        <w:rPr>
          <w:rFonts w:ascii="Georgia" w:cs="Georgia" w:eastAsia="Georgia" w:hAnsi="Georgia"/>
          <w:color w:val="333333"/>
          <w:sz w:val="22"/>
          <w:szCs w:val="22"/>
        </w:rPr>
        <w:t xml:space="preserve">We are now in a position to state precisely what μ(x) is within the GFD topology.</w:t>
      </w:r>
    </w:p>
    <w:p>
      <w:pPr>
        <w:spacing w:before="200" w:after="200"/>
        <w:jc w:val="both"/>
      </w:pPr>
      <w:r>
        <w:rPr>
          <w:rFonts w:ascii="Georgia" w:cs="Georgia" w:eastAsia="Georgia" w:hAnsi="Georgia"/>
          <w:b/>
          <w:bCs/>
          <w:color w:val="333333"/>
          <w:sz w:val="22"/>
          <w:szCs w:val="22"/>
        </w:rPr>
        <w:t xml:space="preserve">μ(x) is the Field Origin’s normalized saturation response to a gravitational signal of strength x, where the signal flows through all K² = 16 face-coupling channels between TetA and TetB, and the saturation occurs because the Field Origin has capacity k⁰ = 1.</w:t>
      </w:r>
    </w:p>
    <w:p>
      <w:pPr>
        <w:spacing w:before="60" w:after="60"/>
        <w:jc w:val="both"/>
      </w:pPr>
      <w:r>
        <w:rPr>
          <w:rFonts w:ascii="Georgia" w:cs="Georgia" w:eastAsia="Georgia" w:hAnsi="Georgia"/>
          <w:color w:val="333333"/>
          <w:sz w:val="22"/>
          <w:szCs w:val="22"/>
        </w:rPr>
        <w:t xml:space="preserve">μ(x) is </w:t>
      </w:r>
      <w:r>
        <w:rPr>
          <w:rFonts w:ascii="Georgia" w:cs="Georgia" w:eastAsia="Georgia" w:hAnsi="Georgia"/>
          <w:i/>
          <w:iCs/>
          <w:color w:val="333333"/>
          <w:sz w:val="22"/>
          <w:szCs w:val="22"/>
        </w:rPr>
        <w:t xml:space="preserve">not</w:t>
      </w:r>
      <w:r>
        <w:rPr>
          <w:rFonts w:ascii="Georgia" w:cs="Georgia" w:eastAsia="Georgia" w:hAnsi="Georgia"/>
          <w:color w:val="333333"/>
          <w:sz w:val="22"/>
          <w:szCs w:val="22"/>
        </w:rPr>
        <w:t xml:space="preserve"> the Field Origin alone. The Field Origin (</w:t>
      </w: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is only the saturation mechanism. Without the </w:t>
      </w:r>
      <w:r>
        <w:rPr>
          <w:rFonts w:ascii="Cambria Math" w:cs="Cambria Math" w:eastAsia="Cambria Math" w:hAnsi="Cambria Math"/>
          <w:color w:val="222222"/>
          <w:sz w:val="22"/>
          <w:szCs w:val="22"/>
        </w:rPr>
        <w:t xml:space="preserve">K² = 16</w:t>
      </w:r>
      <w:r>
        <w:rPr>
          <w:rFonts w:ascii="Georgia" w:cs="Georgia" w:eastAsia="Georgia" w:hAnsi="Georgia"/>
          <w:color w:val="333333"/>
          <w:sz w:val="22"/>
          <w:szCs w:val="22"/>
        </w:rPr>
        <w:t xml:space="preserve"> face-coupling channels to set the range, there would be nothing for μ to interpolate across.</w:t>
      </w:r>
    </w:p>
    <w:p>
      <w:pPr>
        <w:spacing w:before="60" w:after="60"/>
        <w:jc w:val="both"/>
      </w:pPr>
      <w:r>
        <w:rPr>
          <w:rFonts w:ascii="Georgia" w:cs="Georgia" w:eastAsia="Georgia" w:hAnsi="Georgia"/>
          <w:color w:val="333333"/>
          <w:sz w:val="22"/>
          <w:szCs w:val="22"/>
        </w:rPr>
        <w:t xml:space="preserve">μ(x) is </w:t>
      </w:r>
      <w:r>
        <w:rPr>
          <w:rFonts w:ascii="Georgia" w:cs="Georgia" w:eastAsia="Georgia" w:hAnsi="Georgia"/>
          <w:i/>
          <w:iCs/>
          <w:color w:val="333333"/>
          <w:sz w:val="22"/>
          <w:szCs w:val="22"/>
        </w:rPr>
        <w:t xml:space="preserve">not</w:t>
      </w:r>
      <w:r>
        <w:rPr>
          <w:rFonts w:ascii="Georgia" w:cs="Georgia" w:eastAsia="Georgia" w:hAnsi="Georgia"/>
          <w:color w:val="333333"/>
          <w:sz w:val="22"/>
          <w:szCs w:val="22"/>
        </w:rPr>
        <w:t xml:space="preserve"> the full face coupling alone. The face coupling (</w:t>
      </w:r>
      <w:r>
        <w:rPr>
          <w:rFonts w:ascii="Cambria Math" w:cs="Cambria Math" w:eastAsia="Cambria Math" w:hAnsi="Cambria Math"/>
          <w:color w:val="222222"/>
          <w:sz w:val="22"/>
          <w:szCs w:val="22"/>
        </w:rPr>
        <w:t xml:space="preserve">k² = 16</w:t>
      </w:r>
      <w:r>
        <w:rPr>
          <w:rFonts w:ascii="Georgia" w:cs="Georgia" w:eastAsia="Georgia" w:hAnsi="Georgia"/>
          <w:color w:val="333333"/>
          <w:sz w:val="22"/>
          <w:szCs w:val="22"/>
        </w:rPr>
        <w:t xml:space="preserve">) sets the endpoints </w:t>
      </w:r>
      <w:r>
        <w:rPr>
          <w:rFonts w:ascii="Cambria Math" w:cs="Cambria Math" w:eastAsia="Cambria Math" w:hAnsi="Cambria Math"/>
          <w:color w:val="222222"/>
          <w:sz w:val="22"/>
          <w:szCs w:val="22"/>
        </w:rPr>
        <w:t xml:space="preserve">f ∈ [13, 21]</w:t>
      </w:r>
      <w:r>
        <w:rPr>
          <w:rFonts w:ascii="Georgia" w:cs="Georgia" w:eastAsia="Georgia" w:hAnsi="Georgia"/>
          <w:color w:val="333333"/>
          <w:sz w:val="22"/>
          <w:szCs w:val="22"/>
        </w:rPr>
        <w:t xml:space="preserve">, but without the </w:t>
      </w: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bottleneck, the response would not saturate as </w:t>
      </w:r>
      <w:r>
        <w:rPr>
          <w:rFonts w:ascii="Cambria Math" w:cs="Cambria Math" w:eastAsia="Cambria Math" w:hAnsi="Cambria Math"/>
          <w:color w:val="222222"/>
          <w:sz w:val="22"/>
          <w:szCs w:val="22"/>
        </w:rPr>
        <w:t xml:space="preserve">x/(x+1)</w:t>
      </w:r>
      <w:r>
        <w:rPr>
          <w:rFonts w:ascii="Georgia" w:cs="Georgia" w:eastAsia="Georgia" w:hAnsi="Georgia"/>
          <w:color w:val="333333"/>
          <w:sz w:val="22"/>
          <w:szCs w:val="22"/>
        </w:rPr>
        <w:t xml:space="preserve">. And without the </w:t>
      </w:r>
      <w:r>
        <w:rPr>
          <w:rFonts w:ascii="Cambria Math" w:cs="Cambria Math" w:eastAsia="Cambria Math" w:hAnsi="Cambria Math"/>
          <w:color w:val="222222"/>
          <w:sz w:val="22"/>
          <w:szCs w:val="22"/>
        </w:rPr>
        <w:t xml:space="preserve">sk</w:t>
      </w:r>
      <w:r>
        <w:rPr>
          <w:rFonts w:ascii="Georgia" w:cs="Georgia" w:eastAsia="Georgia" w:hAnsi="Georgia"/>
          <w:color w:val="333333"/>
          <w:sz w:val="22"/>
          <w:szCs w:val="22"/>
        </w:rPr>
        <w:t xml:space="preserve"> flow term, the response would not vary with acceleration at all.</w:t>
      </w:r>
    </w:p>
    <w:p>
      <w:pPr>
        <w:spacing w:before="60" w:after="60"/>
        <w:jc w:val="both"/>
      </w:pPr>
      <w:r>
        <w:rPr>
          <w:rFonts w:ascii="Georgia" w:cs="Georgia" w:eastAsia="Georgia" w:hAnsi="Georgia"/>
          <w:color w:val="333333"/>
          <w:sz w:val="22"/>
          <w:szCs w:val="22"/>
        </w:rPr>
        <w:t xml:space="preserve">All three terms are necessary. None is sufficient. The constitutive law requires </w:t>
      </w:r>
      <w:r>
        <w:rPr>
          <w:rFonts w:ascii="Georgia" w:cs="Georgia" w:eastAsia="Georgia" w:hAnsi="Georgia"/>
          <w:i/>
          <w:iCs/>
          <w:color w:val="333333"/>
          <w:sz w:val="22"/>
          <w:szCs w:val="22"/>
        </w:rPr>
        <w:t xml:space="preserve">all three</w:t>
      </w:r>
      <w:r>
        <w:rPr>
          <w:rFonts w:ascii="Georgia" w:cs="Georgia" w:eastAsia="Georgia" w:hAnsi="Georgia"/>
          <w:color w:val="333333"/>
          <w:sz w:val="22"/>
          <w:szCs w:val="22"/>
        </w:rPr>
        <w:t xml:space="preserve"> to produce the specific functional form </w:t>
      </w:r>
      <w:r>
        <w:rPr>
          <w:rFonts w:ascii="Cambria Math" w:cs="Cambria Math" w:eastAsia="Cambria Math" w:hAnsi="Cambria Math"/>
          <w:color w:val="222222"/>
          <w:sz w:val="22"/>
          <w:szCs w:val="22"/>
        </w:rPr>
        <w:t xml:space="preserve">μ(x) = x/(x+1)</w:t>
      </w:r>
      <w:r>
        <w:rPr>
          <w:rFonts w:ascii="Georgia" w:cs="Georgia" w:eastAsia="Georgia" w:hAnsi="Georgia"/>
          <w:color w:val="333333"/>
          <w:sz w:val="22"/>
          <w:szCs w:val="22"/>
        </w:rPr>
        <w:t xml:space="preserve"> that matches the Bekenstein–Milgrom interpolation function derived here from first principles rather than postulated.</w:t>
      </w:r>
    </w:p>
    <w:p>
      <w:pPr>
        <w:pStyle w:val="Heading1"/>
        <w:spacing w:before="360" w:after="120"/>
      </w:pPr>
      <w:r>
        <w:rPr>
          <w:rFonts w:ascii="Georgia" w:cs="Georgia" w:eastAsia="Georgia" w:hAnsi="Georgia"/>
          <w:b/>
          <w:bCs/>
          <w:color w:val="1B2A4A"/>
          <w:sz w:val="32"/>
          <w:szCs w:val="32"/>
        </w:rPr>
        <w:t xml:space="preserve">5.  The Tetrahedral Partition Function</w:t>
      </w:r>
    </w:p>
    <w:p>
      <w:pPr>
        <w:spacing w:before="60" w:after="60"/>
        <w:jc w:val="both"/>
      </w:pPr>
      <w:r>
        <w:rPr>
          <w:rFonts w:ascii="Georgia" w:cs="Georgia" w:eastAsia="Georgia" w:hAnsi="Georgia"/>
          <w:color w:val="333333"/>
          <w:sz w:val="22"/>
          <w:szCs w:val="22"/>
        </w:rPr>
        <w:t xml:space="preserve">The complementary fractions </w:t>
      </w:r>
      <w:r>
        <w:rPr>
          <w:rFonts w:ascii="Cambria Math" w:cs="Cambria Math" w:eastAsia="Cambria Math" w:hAnsi="Cambria Math"/>
          <w:color w:val="222222"/>
          <w:sz w:val="22"/>
          <w:szCs w:val="22"/>
        </w:rPr>
        <w:t xml:space="preserve">μ</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1−μ</w:t>
      </w:r>
      <w:r>
        <w:rPr>
          <w:rFonts w:ascii="Georgia" w:cs="Georgia" w:eastAsia="Georgia" w:hAnsi="Georgia"/>
          <w:color w:val="333333"/>
          <w:sz w:val="22"/>
          <w:szCs w:val="22"/>
        </w:rPr>
        <w:t xml:space="preserve"> have a direct geometric interpretation on the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-dial:</w:t>
      </w:r>
    </w:p>
    <w:p>
      <w:pPr>
        <w:shd w:fill="F0F4F8" w:val="clear"/>
        <w:spacing w:before="160" w:after="160"/>
        <w:jc w:val="center"/>
      </w:pPr>
      <w:r>
        <w:rPr>
          <w:rFonts w:ascii="Cambria Math" w:cs="Cambria Math" w:eastAsia="Cambria Math" w:hAnsi="Cambria Math"/>
          <w:color w:val="1B2A4A"/>
          <w:sz w:val="24"/>
          <w:szCs w:val="24"/>
        </w:rPr>
        <w:t xml:space="preserve">μ = (f − 13)/8 = distance from TetB / total range</w:t>
      </w:r>
    </w:p>
    <w:p>
      <w:pPr>
        <w:shd w:fill="F0F4F8" w:val="clear"/>
        <w:spacing w:before="160" w:after="160"/>
        <w:jc w:val="center"/>
      </w:pPr>
      <w:r>
        <w:rPr>
          <w:rFonts w:ascii="Cambria Math" w:cs="Cambria Math" w:eastAsia="Cambria Math" w:hAnsi="Cambria Math"/>
          <w:color w:val="1B2A4A"/>
          <w:sz w:val="24"/>
          <w:szCs w:val="24"/>
        </w:rPr>
        <w:t xml:space="preserve">1 − μ = (21 − f)/8 = distance from TetA / total range</w:t>
      </w:r>
    </w:p>
    <w:p>
      <w:pPr>
        <w:spacing w:before="60" w:after="60"/>
        <w:jc w:val="both"/>
      </w:pPr>
      <w:r>
        <w:rPr>
          <w:rFonts w:ascii="Georgia" w:cs="Georgia" w:eastAsia="Georgia" w:hAnsi="Georgia"/>
          <w:color w:val="333333"/>
          <w:sz w:val="22"/>
          <w:szCs w:val="22"/>
        </w:rPr>
        <w:t xml:space="preserve">At any acceleration ratio </w:t>
      </w:r>
      <w:r>
        <w:rPr>
          <w:rFonts w:ascii="Cambria Math" w:cs="Cambria Math" w:eastAsia="Cambria Math" w:hAnsi="Cambria Math"/>
          <w:color w:val="222222"/>
          <w:sz w:val="22"/>
          <w:szCs w:val="22"/>
        </w:rPr>
        <w:t xml:space="preserve">x</w:t>
      </w:r>
      <w:r>
        <w:rPr>
          <w:rFonts w:ascii="Georgia" w:cs="Georgia" w:eastAsia="Georgia" w:hAnsi="Georgia"/>
          <w:color w:val="333333"/>
          <w:sz w:val="22"/>
          <w:szCs w:val="22"/>
        </w:rPr>
        <w:t xml:space="preserve">, the constitutive law partitions the gravitational field between the two tetrahedral chambers. At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(the Field Origin), </w:t>
      </w:r>
      <w:r>
        <w:rPr>
          <w:rFonts w:ascii="Cambria Math" w:cs="Cambria Math" w:eastAsia="Cambria Math" w:hAnsi="Cambria Math"/>
          <w:color w:val="222222"/>
          <w:sz w:val="22"/>
          <w:szCs w:val="22"/>
        </w:rPr>
        <w:t xml:space="preserve">μ = 1/2</w:t>
      </w:r>
      <w:r>
        <w:rPr>
          <w:rFonts w:ascii="Georgia" w:cs="Georgia" w:eastAsia="Georgia" w:hAnsi="Georgia"/>
          <w:color w:val="333333"/>
          <w:sz w:val="22"/>
          <w:szCs w:val="22"/>
        </w:rPr>
        <w:t xml:space="preserve">: equal partition, bimetric equilibrium. In the deep MOND regime, TetB dominates. In the Newtonian regime, TetA dominates.</w:t>
      </w:r>
    </w:p>
    <w:p>
      <w:pPr>
        <w:spacing w:before="60" w:after="60"/>
        <w:jc w:val="both"/>
      </w:pPr>
      <w:r>
        <w:rPr>
          <w:rFonts w:ascii="Georgia" w:cs="Georgia" w:eastAsia="Georgia" w:hAnsi="Georgia"/>
          <w:color w:val="333333"/>
          <w:sz w:val="22"/>
          <w:szCs w:val="22"/>
        </w:rPr>
        <w:t xml:space="preserve">This partition is not a correction to Newtonian gravity. It is the fundamental decomposition of the gravitational field into its two constituent chambers. The “dark matter” that ΛCDM attributes to an invisible particle is, in GFD, the TetB component of the vortex — the fraction </w:t>
      </w:r>
      <w:r>
        <w:rPr>
          <w:rFonts w:ascii="Cambria Math" w:cs="Cambria Math" w:eastAsia="Cambria Math" w:hAnsi="Cambria Math"/>
          <w:color w:val="222222"/>
          <w:sz w:val="22"/>
          <w:szCs w:val="22"/>
        </w:rPr>
        <w:t xml:space="preserve">1/(x+1)</w:t>
      </w:r>
      <w:r>
        <w:rPr>
          <w:rFonts w:ascii="Georgia" w:cs="Georgia" w:eastAsia="Georgia" w:hAnsi="Georgia"/>
          <w:color w:val="333333"/>
          <w:sz w:val="22"/>
          <w:szCs w:val="22"/>
        </w:rPr>
        <w:t xml:space="preserve"> of the total field that is processed through the interior chamber. It is fully determined by the constitutive law and the observed rotation curve: given one side of the partition, the other follows uniquely.</w:t>
      </w:r>
    </w:p>
    <w:p>
      <w:pPr>
        <w:pStyle w:val="Heading1"/>
        <w:spacing w:before="360" w:after="120"/>
      </w:pPr>
      <w:r>
        <w:rPr>
          <w:rFonts w:ascii="Georgia" w:cs="Georgia" w:eastAsia="Georgia" w:hAnsi="Georgia"/>
          <w:b/>
          <w:bCs/>
          <w:color w:val="1B2A4A"/>
          <w:sz w:val="32"/>
          <w:szCs w:val="32"/>
        </w:rPr>
        <w:t xml:space="preserve">6.  The N-Metric Generalization</w:t>
      </w:r>
    </w:p>
    <w:p>
      <w:pPr>
        <w:spacing w:before="60" w:after="60"/>
        <w:jc w:val="both"/>
      </w:pPr>
      <w:r>
        <w:rPr>
          <w:rFonts w:ascii="Georgia" w:cs="Georgia" w:eastAsia="Georgia" w:hAnsi="Georgia"/>
          <w:color w:val="333333"/>
          <w:sz w:val="22"/>
          <w:szCs w:val="22"/>
        </w:rPr>
        <w:t xml:space="preserve">The stellated octahedron has exactly two tetrahedra. The number of </w:t>
      </w:r>
      <w:r>
        <w:rPr>
          <w:rFonts w:ascii="Georgia" w:cs="Georgia" w:eastAsia="Georgia" w:hAnsi="Georgia"/>
          <w:i/>
          <w:iCs/>
          <w:color w:val="333333"/>
          <w:sz w:val="22"/>
          <w:szCs w:val="22"/>
        </w:rPr>
        <w:t xml:space="preserve">dynamical</w:t>
      </w:r>
      <w:r>
        <w:rPr>
          <w:rFonts w:ascii="Georgia" w:cs="Georgia" w:eastAsia="Georgia" w:hAnsi="Georgia"/>
          <w:color w:val="333333"/>
          <w:sz w:val="22"/>
          <w:szCs w:val="22"/>
        </w:rPr>
        <w:t xml:space="preserve"> chambers </w:t>
      </w:r>
      <w:r>
        <w:rPr>
          <w:rFonts w:ascii="Cambria Math" w:cs="Cambria Math" w:eastAsia="Cambria Math" w:hAnsi="Cambria Math"/>
          <w:color w:val="222222"/>
          <w:sz w:val="22"/>
          <w:szCs w:val="22"/>
        </w:rPr>
        <w:t xml:space="preserve">N</w:t>
      </w:r>
      <w:r>
        <w:rPr>
          <w:rFonts w:ascii="Georgia" w:cs="Georgia" w:eastAsia="Georgia" w:hAnsi="Georgia"/>
          <w:color w:val="333333"/>
          <w:sz w:val="22"/>
          <w:szCs w:val="22"/>
        </w:rPr>
        <w:t xml:space="preserve"> can therefore only be 1 or 2. The generalized screening equation</w:t>
      </w:r>
    </w:p>
    <w:p>
      <w:pPr>
        <w:shd w:fill="F0F4F8" w:val="clear"/>
        <w:spacing w:before="160" w:after="160"/>
        <w:jc w:val="center"/>
      </w:pPr>
      <w:r>
        <w:rPr>
          <w:rFonts w:ascii="Cambria Math" w:cs="Cambria Math" w:eastAsia="Cambria Math" w:hAnsi="Cambria Math"/>
          <w:color w:val="1B2A4A"/>
          <w:sz w:val="24"/>
          <w:szCs w:val="24"/>
        </w:rPr>
        <w:t xml:space="preserve">x · (1 − μ)ᴺ = μ</w:t>
      </w:r>
    </w:p>
    <w:p>
      <w:pPr>
        <w:spacing w:before="60" w:after="60"/>
        <w:jc w:val="both"/>
      </w:pPr>
      <w:r>
        <w:rPr>
          <w:rFonts w:ascii="Georgia" w:cs="Georgia" w:eastAsia="Georgia" w:hAnsi="Georgia"/>
          <w:color w:val="333333"/>
          <w:sz w:val="22"/>
          <w:szCs w:val="22"/>
        </w:rPr>
        <w:t xml:space="preserve">produces distinct constitutive laws for each value of </w:t>
      </w:r>
      <w:r>
        <w:rPr>
          <w:rFonts w:ascii="Cambria Math" w:cs="Cambria Math" w:eastAsia="Cambria Math" w:hAnsi="Cambria Math"/>
          <w:color w:val="222222"/>
          <w:sz w:val="22"/>
          <w:szCs w:val="22"/>
        </w:rPr>
        <w:t xml:space="preserve">N</w:t>
      </w:r>
      <w:r>
        <w:rPr>
          <w:rFonts w:ascii="Georgia" w:cs="Georgia" w:eastAsia="Georgia" w:hAnsi="Georgia"/>
          <w:color w:val="333333"/>
          <w:sz w:val="22"/>
          <w:szCs w:val="22"/>
        </w:rPr>
        <w:t xml:space="preserve">. At </w:t>
      </w:r>
      <w:r>
        <w:rPr>
          <w:rFonts w:ascii="Cambria Math" w:cs="Cambria Math" w:eastAsia="Cambria Math" w:hAnsi="Cambria Math"/>
          <w:color w:val="222222"/>
          <w:sz w:val="22"/>
          <w:szCs w:val="22"/>
        </w:rPr>
        <w:t xml:space="preserve">N = 1</w:t>
      </w:r>
      <w:r>
        <w:rPr>
          <w:rFonts w:ascii="Georgia" w:cs="Georgia" w:eastAsia="Georgia" w:hAnsi="Georgia"/>
          <w:color w:val="333333"/>
          <w:sz w:val="22"/>
          <w:szCs w:val="22"/>
        </w:rPr>
        <w:t xml:space="preserve"> (scalar-tensor limit), TetA is dynamical and TetB is a fixed reference frame. One factor of </w:t>
      </w:r>
      <w:r>
        <w:rPr>
          <w:rFonts w:ascii="Cambria Math" w:cs="Cambria Math" w:eastAsia="Cambria Math" w:hAnsi="Cambria Math"/>
          <w:color w:val="222222"/>
          <w:sz w:val="22"/>
          <w:szCs w:val="22"/>
        </w:rPr>
        <w:t xml:space="preserve">(1−μ)</w:t>
      </w:r>
      <w:r>
        <w:rPr>
          <w:rFonts w:ascii="Georgia" w:cs="Georgia" w:eastAsia="Georgia" w:hAnsi="Georgia"/>
          <w:color w:val="333333"/>
          <w:sz w:val="22"/>
          <w:szCs w:val="22"/>
        </w:rPr>
        <w:t xml:space="preserve"> appears — one chamber’s remaining capacity. This gives </w:t>
      </w:r>
      <w:r>
        <w:rPr>
          <w:rFonts w:ascii="Cambria Math" w:cs="Cambria Math" w:eastAsia="Cambria Math" w:hAnsi="Cambria Math"/>
          <w:color w:val="222222"/>
          <w:sz w:val="22"/>
          <w:szCs w:val="22"/>
        </w:rPr>
        <w:t xml:space="preserve">μ₁ = x/(x+1)</w:t>
      </w:r>
      <w:r>
        <w:rPr>
          <w:rFonts w:ascii="Georgia" w:cs="Georgia" w:eastAsia="Georgia" w:hAnsi="Georgia"/>
          <w:color w:val="333333"/>
          <w:sz w:val="22"/>
          <w:szCs w:val="22"/>
        </w:rPr>
        <w:t xml:space="preserve"> with </w:t>
      </w:r>
      <w:r>
        <w:rPr>
          <w:rFonts w:ascii="Cambria Math" w:cs="Cambria Math" w:eastAsia="Cambria Math" w:hAnsi="Cambria Math"/>
          <w:color w:val="222222"/>
          <w:sz w:val="22"/>
          <w:szCs w:val="22"/>
        </w:rPr>
        <w:t xml:space="preserve">μ₁(1) = 1/2</w:t>
      </w:r>
      <w:r>
        <w:rPr>
          <w:rFonts w:ascii="Georgia" w:cs="Georgia" w:eastAsia="Georgia" w:hAnsi="Georgia"/>
          <w:color w:val="333333"/>
          <w:sz w:val="22"/>
          <w:szCs w:val="22"/>
        </w:rPr>
        <w:t xml:space="preserve">.</w:t>
      </w:r>
    </w:p>
    <w:p>
      <w:pPr>
        <w:spacing w:before="60" w:after="60"/>
        <w:jc w:val="both"/>
      </w:pPr>
      <w:r>
        <w:rPr>
          <w:rFonts w:ascii="Georgia" w:cs="Georgia" w:eastAsia="Georgia" w:hAnsi="Georgia"/>
          <w:color w:val="333333"/>
          <w:sz w:val="22"/>
          <w:szCs w:val="22"/>
        </w:rPr>
        <w:t xml:space="preserve">At </w:t>
      </w:r>
      <w:r>
        <w:rPr>
          <w:rFonts w:ascii="Cambria Math" w:cs="Cambria Math" w:eastAsia="Cambria Math" w:hAnsi="Cambria Math"/>
          <w:color w:val="222222"/>
          <w:sz w:val="22"/>
          <w:szCs w:val="22"/>
        </w:rPr>
        <w:t xml:space="preserve">N = 2</w:t>
      </w:r>
      <w:r>
        <w:rPr>
          <w:rFonts w:ascii="Georgia" w:cs="Georgia" w:eastAsia="Georgia" w:hAnsi="Georgia"/>
          <w:color w:val="333333"/>
          <w:sz w:val="22"/>
          <w:szCs w:val="22"/>
        </w:rPr>
        <w:t xml:space="preserve"> (full bimetric), both TetA and TetB are dynamical. Each chamber independently contributes a screening factor through its </w:t>
      </w: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faces, giving two factors of </w:t>
      </w:r>
      <w:r>
        <w:rPr>
          <w:rFonts w:ascii="Cambria Math" w:cs="Cambria Math" w:eastAsia="Cambria Math" w:hAnsi="Cambria Math"/>
          <w:color w:val="222222"/>
          <w:sz w:val="22"/>
          <w:szCs w:val="22"/>
        </w:rPr>
        <w:t xml:space="preserve">(1−μ)</w:t>
      </w:r>
      <w:r>
        <w:rPr>
          <w:rFonts w:ascii="Georgia" w:cs="Georgia" w:eastAsia="Georgia" w:hAnsi="Georgia"/>
          <w:color w:val="333333"/>
          <w:sz w:val="22"/>
          <w:szCs w:val="22"/>
        </w:rPr>
        <w:t xml:space="preserve">. The closed-form solution is </w:t>
      </w:r>
      <w:r>
        <w:rPr>
          <w:rFonts w:ascii="Cambria Math" w:cs="Cambria Math" w:eastAsia="Cambria Math" w:hAnsi="Cambria Math"/>
          <w:color w:val="222222"/>
          <w:sz w:val="22"/>
          <w:szCs w:val="22"/>
        </w:rPr>
        <w:t xml:space="preserve">μ₂ = (√(1+4x)−1)/(√(1+4x)+1)</w:t>
      </w:r>
      <w:r>
        <w:rPr>
          <w:rFonts w:ascii="Georgia" w:cs="Georgia" w:eastAsia="Georgia" w:hAnsi="Georgia"/>
          <w:color w:val="333333"/>
          <w:sz w:val="22"/>
          <w:szCs w:val="22"/>
        </w:rPr>
        <w:t xml:space="preserve">. At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the quadratic </w:t>
      </w:r>
      <w:r>
        <w:rPr>
          <w:rFonts w:ascii="Cambria Math" w:cs="Cambria Math" w:eastAsia="Cambria Math" w:hAnsi="Cambria Math"/>
          <w:color w:val="222222"/>
          <w:sz w:val="22"/>
          <w:szCs w:val="22"/>
        </w:rPr>
        <w:t xml:space="preserve">μ² − 3μ + 1 = 0</w:t>
      </w:r>
      <w:r>
        <w:rPr>
          <w:rFonts w:ascii="Georgia" w:cs="Georgia" w:eastAsia="Georgia" w:hAnsi="Georgia"/>
          <w:color w:val="333333"/>
          <w:sz w:val="22"/>
          <w:szCs w:val="22"/>
        </w:rPr>
        <w:t xml:space="preserve"> gives </w:t>
      </w:r>
      <w:r>
        <w:rPr>
          <w:rFonts w:ascii="Cambria Math" w:cs="Cambria Math" w:eastAsia="Cambria Math" w:hAnsi="Cambria Math"/>
          <w:color w:val="222222"/>
          <w:sz w:val="22"/>
          <w:szCs w:val="22"/>
        </w:rPr>
        <w:t xml:space="preserve">μ₂(1) = (3−√5)/2 = 1/φ² ≈ 0.382</w:t>
      </w:r>
      <w:r>
        <w:rPr>
          <w:rFonts w:ascii="Georgia" w:cs="Georgia" w:eastAsia="Georgia" w:hAnsi="Georgia"/>
          <w:color w:val="333333"/>
          <w:sz w:val="22"/>
          <w:szCs w:val="22"/>
        </w:rPr>
        <w:t xml:space="preserve">, where </w:t>
      </w:r>
      <w:r>
        <w:rPr>
          <w:rFonts w:ascii="Cambria Math" w:cs="Cambria Math" w:eastAsia="Cambria Math" w:hAnsi="Cambria Math"/>
          <w:color w:val="222222"/>
          <w:sz w:val="22"/>
          <w:szCs w:val="22"/>
        </w:rPr>
        <w:t xml:space="preserve">φ</w:t>
      </w:r>
      <w:r>
        <w:rPr>
          <w:rFonts w:ascii="Georgia" w:cs="Georgia" w:eastAsia="Georgia" w:hAnsi="Georgia"/>
          <w:color w:val="333333"/>
          <w:sz w:val="22"/>
          <w:szCs w:val="22"/>
        </w:rPr>
        <w:t xml:space="preserve"> is the golden ratio.</w:t>
      </w:r>
    </w:p>
    <w:p>
      <w:pPr>
        <w:spacing w:before="60" w:after="60"/>
        <w:jc w:val="both"/>
      </w:pPr>
      <w:r>
        <w:rPr>
          <w:rFonts w:ascii="Georgia" w:cs="Georgia" w:eastAsia="Georgia" w:hAnsi="Georgia"/>
          <w:color w:val="333333"/>
          <w:sz w:val="22"/>
          <w:szCs w:val="22"/>
        </w:rPr>
        <w:t xml:space="preserve">The two theories share identical asymptotic limits (deep MOND: </w:t>
      </w:r>
      <w:r>
        <w:rPr>
          <w:rFonts w:ascii="Cambria Math" w:cs="Cambria Math" w:eastAsia="Cambria Math" w:hAnsi="Cambria Math"/>
          <w:color w:val="222222"/>
          <w:sz w:val="22"/>
          <w:szCs w:val="22"/>
        </w:rPr>
        <w:t xml:space="preserve">μ → x</w:t>
      </w:r>
      <w:r>
        <w:rPr>
          <w:rFonts w:ascii="Georgia" w:cs="Georgia" w:eastAsia="Georgia" w:hAnsi="Georgia"/>
          <w:color w:val="333333"/>
          <w:sz w:val="22"/>
          <w:szCs w:val="22"/>
        </w:rPr>
        <w:t xml:space="preserve">; Newtonian: </w:t>
      </w:r>
      <w:r>
        <w:rPr>
          <w:rFonts w:ascii="Cambria Math" w:cs="Cambria Math" w:eastAsia="Cambria Math" w:hAnsi="Cambria Math"/>
          <w:color w:val="222222"/>
          <w:sz w:val="22"/>
          <w:szCs w:val="22"/>
        </w:rPr>
        <w:t xml:space="preserve">μ → 1</w:t>
      </w:r>
      <w:r>
        <w:rPr>
          <w:rFonts w:ascii="Georgia" w:cs="Georgia" w:eastAsia="Georgia" w:hAnsi="Georgia"/>
          <w:color w:val="333333"/>
          <w:sz w:val="22"/>
          <w:szCs w:val="22"/>
        </w:rPr>
        <w:t xml:space="preserve">) but differ by 11.8% at the transition scale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This is large enough to resolve with existing SPARC galaxy rotation curve data, and constitutes the framework’s primary falsifiable prediction. The chamber duality </w:t>
      </w:r>
      <w:r>
        <w:rPr>
          <w:rFonts w:ascii="Cambria Math" w:cs="Cambria Math" w:eastAsia="Cambria Math" w:hAnsi="Cambria Math"/>
          <w:color w:val="222222"/>
          <w:sz w:val="22"/>
          <w:szCs w:val="22"/>
        </w:rPr>
        <w:t xml:space="preserve">β₀ = β₄ = 1</w:t>
      </w:r>
      <w:r>
        <w:rPr>
          <w:rFonts w:ascii="Georgia" w:cs="Georgia" w:eastAsia="Georgia" w:hAnsi="Georgia"/>
          <w:color w:val="333333"/>
          <w:sz w:val="22"/>
          <w:szCs w:val="22"/>
        </w:rPr>
        <w:t xml:space="preserve"> ensures the two screening factors are identical; if the chambers had different self-couplings, the factors would differ.</w:t>
      </w:r>
    </w:p>
    <w:p>
      <w:pPr>
        <w:pStyle w:val="Heading1"/>
        <w:spacing w:before="360" w:after="120"/>
      </w:pPr>
      <w:r>
        <w:rPr>
          <w:rFonts w:ascii="Georgia" w:cs="Georgia" w:eastAsia="Georgia" w:hAnsi="Georgia"/>
          <w:b/>
          <w:bCs/>
          <w:color w:val="1B2A4A"/>
          <w:sz w:val="32"/>
          <w:szCs w:val="32"/>
        </w:rPr>
        <w:t xml:space="preserve">7.  Cosmological Cross-Check: The 1/6 Exponent</w:t>
      </w:r>
    </w:p>
    <w:p>
      <w:pPr>
        <w:spacing w:before="60" w:after="60"/>
        <w:jc w:val="both"/>
      </w:pPr>
      <w:r>
        <w:rPr>
          <w:rFonts w:ascii="Georgia" w:cs="Georgia" w:eastAsia="Georgia" w:hAnsi="Georgia"/>
          <w:color w:val="333333"/>
          <w:sz w:val="22"/>
          <w:szCs w:val="22"/>
        </w:rPr>
        <w:t xml:space="preserve">The constitutive law’s internal consistency extends to cosmology. Writing the local field equation </w:t>
      </w:r>
      <w:r>
        <w:rPr>
          <w:rFonts w:ascii="Cambria Math" w:cs="Cambria Math" w:eastAsia="Cambria Math" w:hAnsi="Cambria Math"/>
          <w:color w:val="222222"/>
          <w:sz w:val="22"/>
          <w:szCs w:val="22"/>
        </w:rPr>
        <w:t xml:space="preserve">v⁴ = GM(g + a₀)</w:t>
      </w:r>
      <w:r>
        <w:rPr>
          <w:rFonts w:ascii="Georgia" w:cs="Georgia" w:eastAsia="Georgia" w:hAnsi="Georgia"/>
          <w:color w:val="333333"/>
          <w:sz w:val="22"/>
          <w:szCs w:val="22"/>
        </w:rPr>
        <w:t xml:space="preserve"> at two redshifts for the same galaxy and dividing produces an exact quadratic in </w:t>
      </w:r>
      <w:r>
        <w:rPr>
          <w:rFonts w:ascii="Cambria Math" w:cs="Cambria Math" w:eastAsia="Cambria Math" w:hAnsi="Cambria Math"/>
          <w:color w:val="222222"/>
          <w:sz w:val="22"/>
          <w:szCs w:val="22"/>
        </w:rPr>
        <w:t xml:space="preserve">q = (v_z/v_0)²</w:t>
      </w:r>
      <w:r>
        <w:rPr>
          <w:rFonts w:ascii="Georgia" w:cs="Georgia" w:eastAsia="Georgia" w:hAnsi="Georgia"/>
          <w:color w:val="333333"/>
          <w:sz w:val="22"/>
          <w:szCs w:val="22"/>
        </w:rPr>
        <w:t xml:space="preserve">:</w:t>
      </w:r>
    </w:p>
    <w:p>
      <w:pPr>
        <w:shd w:fill="F0F4F8" w:val="clear"/>
        <w:spacing w:before="160" w:after="160"/>
        <w:jc w:val="center"/>
      </w:pPr>
      <w:r>
        <w:rPr>
          <w:rFonts w:ascii="Cambria Math" w:cs="Cambria Math" w:eastAsia="Cambria Math" w:hAnsi="Cambria Math"/>
          <w:color w:val="1B2A4A"/>
          <w:sz w:val="24"/>
          <w:szCs w:val="24"/>
        </w:rPr>
        <w:t xml:space="preserve">q²(x₀ + 1) − q·x₀ − h = 0</w:t>
      </w:r>
    </w:p>
    <w:p>
      <w:pPr>
        <w:spacing w:before="60" w:after="60"/>
        <w:jc w:val="both"/>
      </w:pPr>
      <w:r>
        <w:rPr>
          <w:rFonts w:ascii="Georgia" w:cs="Georgia" w:eastAsia="Georgia" w:hAnsi="Georgia"/>
          <w:color w:val="333333"/>
          <w:sz w:val="22"/>
          <w:szCs w:val="22"/>
        </w:rPr>
        <w:t xml:space="preserve">where </w:t>
      </w:r>
      <w:r>
        <w:rPr>
          <w:rFonts w:ascii="Cambria Math" w:cs="Cambria Math" w:eastAsia="Cambria Math" w:hAnsi="Cambria Math"/>
          <w:color w:val="222222"/>
          <w:sz w:val="22"/>
          <w:szCs w:val="22"/>
        </w:rPr>
        <w:t xml:space="preserve">h = H(z)/H₀</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x₀ = v₀²/(r·a₀)</w:t>
      </w:r>
      <w:r>
        <w:rPr>
          <w:rFonts w:ascii="Georgia" w:cs="Georgia" w:eastAsia="Georgia" w:hAnsi="Georgia"/>
          <w:color w:val="333333"/>
          <w:sz w:val="22"/>
          <w:szCs w:val="22"/>
        </w:rPr>
        <w:t xml:space="preserve">. The linearized velocity evolution exponent is</w:t>
      </w:r>
    </w:p>
    <w:p>
      <w:pPr>
        <w:shd w:fill="F0F4F8" w:val="clear"/>
        <w:spacing w:before="160" w:after="160"/>
        <w:jc w:val="center"/>
      </w:pPr>
      <w:r>
        <w:rPr>
          <w:rFonts w:ascii="Cambria Math" w:cs="Cambria Math" w:eastAsia="Cambria Math" w:hAnsi="Cambria Math"/>
          <w:color w:val="1B2A4A"/>
          <w:sz w:val="24"/>
          <w:szCs w:val="24"/>
        </w:rPr>
        <w:t xml:space="preserve">α = 1 / (2(x₀ + 2))</w:t>
      </w:r>
    </w:p>
    <w:p>
      <w:pPr>
        <w:spacing w:before="60" w:after="60"/>
        <w:jc w:val="both"/>
      </w:pPr>
      <w:r>
        <w:rPr>
          <w:rFonts w:ascii="Georgia" w:cs="Georgia" w:eastAsia="Georgia" w:hAnsi="Georgia"/>
          <w:color w:val="333333"/>
          <w:sz w:val="22"/>
          <w:szCs w:val="22"/>
        </w:rPr>
        <w:t xml:space="preserve">At the Field Origin </w:t>
      </w:r>
      <w:r>
        <w:rPr>
          <w:rFonts w:ascii="Cambria Math" w:cs="Cambria Math" w:eastAsia="Cambria Math" w:hAnsi="Cambria Math"/>
          <w:color w:val="222222"/>
          <w:sz w:val="22"/>
          <w:szCs w:val="22"/>
        </w:rPr>
        <w:t xml:space="preserve">x₀ = 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α = 1/(2 × 3) = 1/(2D) = 1/6 = 0.1667</w:t>
      </w:r>
      <w:r>
        <w:rPr>
          <w:rFonts w:ascii="Georgia" w:cs="Georgia" w:eastAsia="Georgia" w:hAnsi="Georgia"/>
          <w:color w:val="333333"/>
          <w:sz w:val="22"/>
          <w:szCs w:val="22"/>
        </w:rPr>
        <w:t xml:space="preserve">. The SST action independently derives </w:t>
      </w:r>
      <w:r>
        <w:rPr>
          <w:rFonts w:ascii="Cambria Math" w:cs="Cambria Math" w:eastAsia="Cambria Math" w:hAnsi="Cambria Math"/>
          <w:color w:val="222222"/>
          <w:sz w:val="22"/>
          <w:szCs w:val="22"/>
        </w:rPr>
        <w:t xml:space="preserve">α = 0.17</w:t>
      </w:r>
      <w:r>
        <w:rPr>
          <w:rFonts w:ascii="Georgia" w:cs="Georgia" w:eastAsia="Georgia" w:hAnsi="Georgia"/>
          <w:color w:val="333333"/>
          <w:sz w:val="22"/>
          <w:szCs w:val="22"/>
        </w:rPr>
        <w:t xml:space="preserve"> from the disformal photon coupling </w:t>
      </w:r>
      <w:r>
        <w:rPr>
          <w:rFonts w:ascii="Cambria Math" w:cs="Cambria Math" w:eastAsia="Cambria Math" w:hAnsi="Cambria Math"/>
          <w:color w:val="222222"/>
          <w:sz w:val="22"/>
          <w:szCs w:val="22"/>
        </w:rPr>
        <w:t xml:space="preserve">e⁻²Φ/c²</w:t>
      </w:r>
      <w:r>
        <w:rPr>
          <w:rFonts w:ascii="Georgia" w:cs="Georgia" w:eastAsia="Georgia" w:hAnsi="Georgia"/>
          <w:color w:val="333333"/>
          <w:sz w:val="22"/>
          <w:szCs w:val="22"/>
        </w:rPr>
        <w:t xml:space="preserve"> in the scalar-tensor action. The agreement to 2% confirms that the disformal screening </w:t>
      </w:r>
      <w:r>
        <w:rPr>
          <w:rFonts w:ascii="Georgia" w:cs="Georgia" w:eastAsia="Georgia" w:hAnsi="Georgia"/>
          <w:i/>
          <w:iCs/>
          <w:color w:val="333333"/>
          <w:sz w:val="22"/>
          <w:szCs w:val="22"/>
        </w:rPr>
        <w:t xml:space="preserve">is</w:t>
      </w:r>
      <w:r>
        <w:rPr>
          <w:rFonts w:ascii="Georgia" w:cs="Georgia" w:eastAsia="Georgia" w:hAnsi="Georgia"/>
          <w:color w:val="333333"/>
          <w:sz w:val="22"/>
          <w:szCs w:val="22"/>
        </w:rPr>
        <w:t xml:space="preserve"> the constitutive law evaluated at the Field Origin boundary, seen from the cosmological direction.</w:t>
      </w:r>
    </w:p>
    <w:p>
      <w:pPr>
        <w:pStyle w:val="Heading1"/>
        <w:spacing w:before="360" w:after="120"/>
      </w:pPr>
      <w:r>
        <w:rPr>
          <w:rFonts w:ascii="Georgia" w:cs="Georgia" w:eastAsia="Georgia" w:hAnsi="Georgia"/>
          <w:b/>
          <w:bCs/>
          <w:color w:val="1B2A4A"/>
          <w:sz w:val="32"/>
          <w:szCs w:val="32"/>
        </w:rPr>
        <w:t xml:space="preserve">8.  The Complete Derivation Chain</w:t>
      </w:r>
    </w:p>
    <w:p>
      <w:pPr>
        <w:spacing w:before="60" w:after="60"/>
        <w:jc w:val="both"/>
      </w:pPr>
      <w:r>
        <w:rPr>
          <w:rFonts w:ascii="Georgia" w:cs="Georgia" w:eastAsia="Georgia" w:hAnsi="Georgia"/>
          <w:color w:val="333333"/>
          <w:sz w:val="22"/>
          <w:szCs w:val="22"/>
        </w:rPr>
        <w:t xml:space="preserve">The constitutive law connects to every layer of the framework through a derivation chain with no free parameters:</w:t>
      </w:r>
    </w:p>
    <w:p>
      <w:pPr>
        <w:spacing w:before="60" w:after="60"/>
        <w:jc w:val="both"/>
      </w:pPr>
      <w:r>
        <w:rPr>
          <w:rFonts w:ascii="Cambria Math" w:cs="Cambria Math" w:eastAsia="Cambria Math" w:hAnsi="Cambria Math"/>
          <w:color w:val="222222"/>
          <w:sz w:val="22"/>
          <w:szCs w:val="22"/>
        </w:rPr>
        <w:t xml:space="preserve">2(d+1) = 2ᵈ</w:t>
      </w:r>
      <w:r>
        <w:rPr>
          <w:rFonts w:ascii="Georgia" w:cs="Georgia" w:eastAsia="Georgia" w:hAnsi="Georgia"/>
          <w:color w:val="333333"/>
          <w:sz w:val="22"/>
          <w:szCs w:val="22"/>
        </w:rPr>
        <w:t xml:space="preserve"> → </w:t>
      </w:r>
      <w:r>
        <w:rPr>
          <w:rFonts w:ascii="Cambria Math" w:cs="Cambria Math" w:eastAsia="Cambria Math" w:hAnsi="Cambria Math"/>
          <w:color w:val="222222"/>
          <w:sz w:val="22"/>
          <w:szCs w:val="22"/>
        </w:rPr>
        <w:t xml:space="preserve">d = 3</w:t>
      </w:r>
      <w:r>
        <w:rPr>
          <w:rFonts w:ascii="Georgia" w:cs="Georgia" w:eastAsia="Georgia" w:hAnsi="Georgia"/>
          <w:color w:val="333333"/>
          <w:sz w:val="22"/>
          <w:szCs w:val="22"/>
        </w:rPr>
        <w:t xml:space="preserve"> (uniqueness) → binary parity partition → stellated octahedron (TetA, TetB) → face normals = tetrad → </w:t>
      </w:r>
      <w:r>
        <w:rPr>
          <w:rFonts w:ascii="Cambria Math" w:cs="Cambria Math" w:eastAsia="Cambria Math" w:hAnsi="Cambria Math"/>
          <w:color w:val="222222"/>
          <w:sz w:val="22"/>
          <w:szCs w:val="22"/>
        </w:rPr>
        <w:t xml:space="preserve">K² = 16</w:t>
      </w:r>
      <w:r>
        <w:rPr>
          <w:rFonts w:ascii="Georgia" w:cs="Georgia" w:eastAsia="Georgia" w:hAnsi="Georgia"/>
          <w:color w:val="333333"/>
          <w:sz w:val="22"/>
          <w:szCs w:val="22"/>
        </w:rPr>
        <w:t xml:space="preserve"> coupling channels →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 </w:t>
      </w:r>
      <w:r>
        <w:rPr>
          <w:rFonts w:ascii="Cambria Math" w:cs="Cambria Math" w:eastAsia="Cambria Math" w:hAnsi="Cambria Math"/>
          <w:color w:val="222222"/>
          <w:sz w:val="22"/>
          <w:szCs w:val="22"/>
        </w:rPr>
        <w:t xml:space="preserve">s(x) = (x−1)/(x+1)</w:t>
      </w:r>
      <w:r>
        <w:rPr>
          <w:rFonts w:ascii="Georgia" w:cs="Georgia" w:eastAsia="Georgia" w:hAnsi="Georgia"/>
          <w:color w:val="333333"/>
          <w:sz w:val="22"/>
          <w:szCs w:val="22"/>
        </w:rPr>
        <w:t xml:space="preserve"> (Möbius) → </w:t>
      </w:r>
      <w:r>
        <w:rPr>
          <w:rFonts w:ascii="Cambria Math" w:cs="Cambria Math" w:eastAsia="Cambria Math" w:hAnsi="Cambria Math"/>
          <w:color w:val="222222"/>
          <w:sz w:val="22"/>
          <w:szCs w:val="22"/>
        </w:rPr>
        <w:t xml:space="preserve">f(x) = (21x+13)/(x+1)</w:t>
      </w:r>
      <w:r>
        <w:rPr>
          <w:rFonts w:ascii="Georgia" w:cs="Georgia" w:eastAsia="Georgia" w:hAnsi="Georgia"/>
          <w:color w:val="333333"/>
          <w:sz w:val="22"/>
          <w:szCs w:val="22"/>
        </w:rPr>
        <w:t xml:space="preserve"> → </w:t>
      </w:r>
      <w:r>
        <w:rPr>
          <w:rFonts w:ascii="Cambria Math" w:cs="Cambria Math" w:eastAsia="Cambria Math" w:hAnsi="Cambria Math"/>
          <w:color w:val="222222"/>
          <w:sz w:val="22"/>
          <w:szCs w:val="22"/>
        </w:rPr>
        <w:t xml:space="preserve">μ = x/(x+1)</w:t>
      </w:r>
      <w:r>
        <w:rPr>
          <w:rFonts w:ascii="Georgia" w:cs="Georgia" w:eastAsia="Georgia" w:hAnsi="Georgia"/>
          <w:color w:val="333333"/>
          <w:sz w:val="22"/>
          <w:szCs w:val="22"/>
        </w:rPr>
        <w:t xml:space="preserve"> (normalization) → </w:t>
      </w:r>
      <w:r>
        <w:rPr>
          <w:rFonts w:ascii="Cambria Math" w:cs="Cambria Math" w:eastAsia="Cambria Math" w:hAnsi="Cambria Math"/>
          <w:color w:val="222222"/>
          <w:sz w:val="22"/>
          <w:szCs w:val="22"/>
        </w:rPr>
        <w:t xml:space="preserve">F(y) = y − 2√y + 2·ln(1+√y)</w:t>
      </w:r>
      <w:r>
        <w:rPr>
          <w:rFonts w:ascii="Georgia" w:cs="Georgia" w:eastAsia="Georgia" w:hAnsi="Georgia"/>
          <w:color w:val="333333"/>
          <w:sz w:val="22"/>
          <w:szCs w:val="22"/>
        </w:rPr>
        <w:t xml:space="preserve"> (integration) → complete scalar-tensor action with prefactors </w:t>
      </w:r>
      <w:r>
        <w:rPr>
          <w:rFonts w:ascii="Cambria Math" w:cs="Cambria Math" w:eastAsia="Cambria Math" w:hAnsi="Cambria Math"/>
          <w:color w:val="222222"/>
          <w:sz w:val="22"/>
          <w:szCs w:val="22"/>
        </w:rPr>
        <w:t xml:space="preserve">16πG</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8πG</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4</w:t>
      </w:r>
      <w:r>
        <w:rPr>
          <w:rFonts w:ascii="Georgia" w:cs="Georgia" w:eastAsia="Georgia" w:hAnsi="Georgia"/>
          <w:color w:val="333333"/>
          <w:sz w:val="22"/>
          <w:szCs w:val="22"/>
        </w:rPr>
        <w:t xml:space="preserve"> from the topology.</w:t>
      </w:r>
    </w:p>
    <w:p>
      <w:pPr>
        <w:spacing w:before="60" w:after="60"/>
        <w:jc w:val="both"/>
      </w:pPr>
      <w:r>
        <w:rPr>
          <w:rFonts w:ascii="Georgia" w:cs="Georgia" w:eastAsia="Georgia" w:hAnsi="Georgia"/>
          <w:color w:val="333333"/>
          <w:sz w:val="22"/>
          <w:szCs w:val="22"/>
        </w:rPr>
        <w:t xml:space="preserve">Every coupling constant in the action is a polynomial or exponential in </w:t>
      </w:r>
      <w:r>
        <w:rPr>
          <w:rFonts w:ascii="Cambria Math" w:cs="Cambria Math" w:eastAsia="Cambria Math" w:hAnsi="Cambria Math"/>
          <w:color w:val="222222"/>
          <w:sz w:val="22"/>
          <w:szCs w:val="22"/>
        </w:rPr>
        <w:t xml:space="preserve">K</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D</w:t>
      </w:r>
      <w:r>
        <w:rPr>
          <w:rFonts w:ascii="Georgia" w:cs="Georgia" w:eastAsia="Georgia" w:hAnsi="Georgia"/>
          <w:color w:val="333333"/>
          <w:sz w:val="22"/>
          <w:szCs w:val="22"/>
        </w:rPr>
        <w:t xml:space="preserve">. The stellated octahedron has exactly two structural parameters, and every physical constant reduces to them. The constitutive law sits at the center of this chain: everything upstream feeds into it, and everything downstream flows from it. It is where topology becomes dynamics.</w:t>
      </w:r>
    </w:p>
    <w:p>
      <w:pPr>
        <w:pStyle w:val="Heading1"/>
        <w:spacing w:before="360" w:after="120"/>
      </w:pPr>
      <w:r>
        <w:rPr>
          <w:rFonts w:ascii="Georgia" w:cs="Georgia" w:eastAsia="Georgia" w:hAnsi="Georgia"/>
          <w:b/>
          <w:bCs/>
          <w:color w:val="1B2A4A"/>
          <w:sz w:val="32"/>
          <w:szCs w:val="32"/>
        </w:rPr>
        <w:t xml:space="preserve">9.  Conclusion</w:t>
      </w:r>
    </w:p>
    <w:p>
      <w:pPr>
        <w:spacing w:before="60" w:after="60"/>
        <w:jc w:val="both"/>
      </w:pPr>
      <w:r>
        <w:rPr>
          <w:rFonts w:ascii="Georgia" w:cs="Georgia" w:eastAsia="Georgia" w:hAnsi="Georgia"/>
          <w:color w:val="333333"/>
          <w:sz w:val="22"/>
          <w:szCs w:val="22"/>
        </w:rPr>
        <w:t xml:space="preserve">The gravitational constitutive law </w:t>
      </w:r>
      <w:r>
        <w:rPr>
          <w:rFonts w:ascii="Cambria Math" w:cs="Cambria Math" w:eastAsia="Cambria Math" w:hAnsi="Cambria Math"/>
          <w:color w:val="222222"/>
          <w:sz w:val="22"/>
          <w:szCs w:val="22"/>
        </w:rPr>
        <w:t xml:space="preserve">μ(x) = x/(x+1)</w:t>
      </w:r>
      <w:r>
        <w:rPr>
          <w:rFonts w:ascii="Georgia" w:cs="Georgia" w:eastAsia="Georgia" w:hAnsi="Georgia"/>
          <w:color w:val="333333"/>
          <w:sz w:val="22"/>
          <w:szCs w:val="22"/>
        </w:rPr>
        <w:t xml:space="preserve"> is the central equation of Gravity Field Dynamics. It emerges from three distinct contributions of the coupling polynomial, each with a precise geometric origin in the stellated octahedron:</w:t>
      </w:r>
    </w:p>
    <w:p>
      <w:pPr>
        <w:spacing w:before="80" w:after="40"/>
        <w:ind w:left="360"/>
        <w:jc w:val="both"/>
      </w:pPr>
      <w:r>
        <w:rPr>
          <w:rFonts w:ascii="Cambria Math" w:cs="Cambria Math" w:eastAsia="Cambria Math" w:hAnsi="Cambria Math"/>
          <w:color w:val="222222"/>
          <w:sz w:val="22"/>
          <w:szCs w:val="22"/>
        </w:rPr>
        <w:t xml:space="preserve">k² = 16</w:t>
      </w:r>
      <w:r>
        <w:rPr>
          <w:rFonts w:ascii="Georgia" w:cs="Georgia" w:eastAsia="Georgia" w:hAnsi="Georgia"/>
          <w:color w:val="333333"/>
          <w:sz w:val="22"/>
          <w:szCs w:val="22"/>
        </w:rPr>
        <w:t xml:space="preserve"> (the face-coupling channels): sets the </w:t>
      </w:r>
      <w:r>
        <w:rPr>
          <w:rFonts w:ascii="Georgia" w:cs="Georgia" w:eastAsia="Georgia" w:hAnsi="Georgia"/>
          <w:b/>
          <w:bCs/>
          <w:color w:val="333333"/>
          <w:sz w:val="22"/>
          <w:szCs w:val="22"/>
        </w:rPr>
        <w:t xml:space="preserve">range</w:t>
      </w:r>
      <w:r>
        <w:rPr>
          <w:rFonts w:ascii="Georgia" w:cs="Georgia" w:eastAsia="Georgia" w:hAnsi="Georgia"/>
          <w:color w:val="333333"/>
          <w:sz w:val="22"/>
          <w:szCs w:val="22"/>
        </w:rPr>
        <w:t xml:space="preserve"> of the coupling capacity, corresponding to </w:t>
      </w:r>
      <w:r>
        <w:rPr>
          <w:rFonts w:ascii="Cambria Math" w:cs="Cambria Math" w:eastAsia="Cambria Math" w:hAnsi="Cambria Math"/>
          <w:color w:val="222222"/>
          <w:sz w:val="22"/>
          <w:szCs w:val="22"/>
        </w:rPr>
        <w:t xml:space="preserve">β₂</w:t>
      </w:r>
      <w:r>
        <w:rPr>
          <w:rFonts w:ascii="Georgia" w:cs="Georgia" w:eastAsia="Georgia" w:hAnsi="Georgia"/>
          <w:color w:val="333333"/>
          <w:sz w:val="22"/>
          <w:szCs w:val="22"/>
        </w:rPr>
        <w:t xml:space="preserve"> in the bimetric parameterization.</w:t>
      </w:r>
    </w:p>
    <w:p>
      <w:pPr>
        <w:spacing w:before="40" w:after="40"/>
        <w:ind w:left="360"/>
        <w:jc w:val="both"/>
      </w:pPr>
      <w:r>
        <w:rPr>
          <w:rFonts w:ascii="Cambria Math" w:cs="Cambria Math" w:eastAsia="Cambria Math" w:hAnsi="Cambria Math"/>
          <w:color w:val="222222"/>
          <w:sz w:val="22"/>
          <w:szCs w:val="22"/>
        </w:rPr>
        <w:t xml:space="preserve">sk</w:t>
      </w:r>
      <w:r>
        <w:rPr>
          <w:rFonts w:ascii="Georgia" w:cs="Georgia" w:eastAsia="Georgia" w:hAnsi="Georgia"/>
          <w:color w:val="333333"/>
          <w:sz w:val="22"/>
          <w:szCs w:val="22"/>
        </w:rPr>
        <w:t xml:space="preserve"> (the state-dependent flow): the </w:t>
      </w:r>
      <w:r>
        <w:rPr>
          <w:rFonts w:ascii="Georgia" w:cs="Georgia" w:eastAsia="Georgia" w:hAnsi="Georgia"/>
          <w:b/>
          <w:bCs/>
          <w:color w:val="333333"/>
          <w:sz w:val="22"/>
          <w:szCs w:val="22"/>
        </w:rPr>
        <w:t xml:space="preserve">dial</w:t>
      </w:r>
      <w:r>
        <w:rPr>
          <w:rFonts w:ascii="Georgia" w:cs="Georgia" w:eastAsia="Georgia" w:hAnsi="Georgia"/>
          <w:color w:val="333333"/>
          <w:sz w:val="22"/>
          <w:szCs w:val="22"/>
        </w:rPr>
        <w:t xml:space="preserve"> that moves the capacity between its endpoints through the Möbius map </w:t>
      </w:r>
      <w:r>
        <w:rPr>
          <w:rFonts w:ascii="Cambria Math" w:cs="Cambria Math" w:eastAsia="Cambria Math" w:hAnsi="Cambria Math"/>
          <w:color w:val="222222"/>
          <w:sz w:val="22"/>
          <w:szCs w:val="22"/>
        </w:rPr>
        <w:t xml:space="preserve">s(x) = (x−1)/(x+1)</w:t>
      </w:r>
      <w:r>
        <w:rPr>
          <w:rFonts w:ascii="Georgia" w:cs="Georgia" w:eastAsia="Georgia" w:hAnsi="Georgia"/>
          <w:color w:val="333333"/>
          <w:sz w:val="22"/>
          <w:szCs w:val="22"/>
        </w:rPr>
        <w:t xml:space="preserve">.</w:t>
      </w:r>
    </w:p>
    <w:p>
      <w:pPr>
        <w:spacing w:before="40" w:after="80"/>
        <w:ind w:left="360"/>
        <w:jc w:val="both"/>
      </w:pP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(the Field Origin): the </w:t>
      </w:r>
      <w:r>
        <w:rPr>
          <w:rFonts w:ascii="Georgia" w:cs="Georgia" w:eastAsia="Georgia" w:hAnsi="Georgia"/>
          <w:b/>
          <w:bCs/>
          <w:color w:val="333333"/>
          <w:sz w:val="22"/>
          <w:szCs w:val="22"/>
        </w:rPr>
        <w:t xml:space="preserve">bottleneck</w:t>
      </w:r>
      <w:r>
        <w:rPr>
          <w:rFonts w:ascii="Georgia" w:cs="Georgia" w:eastAsia="Georgia" w:hAnsi="Georgia"/>
          <w:color w:val="333333"/>
          <w:sz w:val="22"/>
          <w:szCs w:val="22"/>
        </w:rPr>
        <w:t xml:space="preserve"> that produces Langmuir saturation, placing the transition at unit acceleration ratio.</w:t>
      </w:r>
    </w:p>
    <w:p>
      <w:pPr>
        <w:spacing w:before="60" w:after="60"/>
        <w:jc w:val="both"/>
      </w:pPr>
      <w:r>
        <w:rPr>
          <w:rFonts w:ascii="Georgia" w:cs="Georgia" w:eastAsia="Georgia" w:hAnsi="Georgia"/>
          <w:color w:val="333333"/>
          <w:sz w:val="22"/>
          <w:szCs w:val="22"/>
        </w:rPr>
        <w:t xml:space="preserve">The identification is confirmed by a 30-test enterprise validation suite spanning five domains: topology, algebra, field dynamics, cosmology, and synthesis. All tests pass with zero failures and zero free parameters.</w:t>
      </w:r>
    </w:p>
    <w:p>
      <w:pPr>
        <w:spacing w:before="200" w:after="200"/>
        <w:jc w:val="center"/>
      </w:pPr>
      <w:r>
        <w:rPr>
          <w:rFonts w:ascii="Georgia" w:cs="Georgia" w:eastAsia="Georgia" w:hAnsi="Georgia"/>
          <w:color w:val="333333"/>
          <w:sz w:val="22"/>
          <w:szCs w:val="22"/>
        </w:rPr>
        <w:t xml:space="preserve">One constitutive law. Two field chambers. Zero free parameters.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GFD Constitutive Law — Enterprise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1B2A4A"/>
      <w:sz w:val="32"/>
      <w:szCs w:val="32"/>
    </w:rPr>
  </w:style>
  <w:style w:type="paragraph" w:styleId="Heading2">
    <w:name w:val="Heading 2"/>
    <w:basedOn w:val="Normal"/>
    <w:next w:val="Normal"/>
    <w:qFormat/>
    <w:pPr>
      <w:spacing w:before="240" w:after="100"/>
      <w:outlineLvl w:val="1"/>
    </w:pPr>
    <w:rPr>
      <w:rFonts w:ascii="Georgia" w:cs="Georgia" w:eastAsia="Georgia" w:hAnsi="Georgia"/>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2026-03-03T02:49:46.279Z</dcterms:created>
  <dcterms:modified xsi:type="dcterms:W3CDTF">2026-03-03T02:49:46.279Z</dcterms:modified>
</cp:coreProperties>
</file>

<file path=docProps/custom.xml><?xml version="1.0" encoding="utf-8"?>
<Properties xmlns="http://schemas.openxmlformats.org/officeDocument/2006/custom-properties" xmlns:vt="http://schemas.openxmlformats.org/officeDocument/2006/docPropsVTypes"/>
</file>