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2"/>
          <w:szCs w:val="32"/>
        </w:rPr>
        <w:t xml:space="preserve">The Great Pyramid as a Dual-Tetrad Resonant Antenna</w:t>
      </w:r>
    </w:p>
    <w:p>
      <w:pPr>
        <w:spacing w:after="80"/>
        <w:jc w:val="center"/>
      </w:pPr>
      <w:r>
        <w:rPr>
          <w:rFonts w:ascii="Georgia" w:cs="Georgia" w:eastAsia="Georgia" w:hAnsi="Georgia"/>
          <w:i/>
          <w:iCs/>
          <w:sz w:val="26"/>
          <w:szCs w:val="26"/>
        </w:rPr>
        <w:t xml:space="preserve">A Gravity Field Dynamics Interpretation</w:t>
      </w:r>
    </w:p>
    <w:p>
      <w:pPr>
        <w:spacing w:after="60"/>
        <w:jc w:val="center"/>
      </w:pPr>
      <w:r>
        <w:rPr>
          <w:rFonts w:ascii="Georgia" w:cs="Georgia" w:eastAsia="Georgia" w:hAnsi="Georgia"/>
          <w:sz w:val="22"/>
          <w:szCs w:val="22"/>
        </w:rPr>
        <w:t xml:space="preserve">Stephen Nelson</w:t>
      </w:r>
    </w:p>
    <w:p>
      <w:pPr>
        <w:spacing w:after="60"/>
        <w:jc w:val="center"/>
      </w:pPr>
      <w:r>
        <w:rPr>
          <w:rFonts w:ascii="Georgia" w:cs="Georgia" w:eastAsia="Georgia" w:hAnsi="Georgia"/>
          <w:i/>
          <w:iCs/>
          <w:sz w:val="22"/>
          <w:szCs w:val="22"/>
        </w:rPr>
        <w:t xml:space="preserve">Field Dynamics Research</w:t>
      </w:r>
    </w:p>
    <w:p>
      <w:pPr>
        <w:spacing w:after="300"/>
        <w:jc w:val="center"/>
      </w:pPr>
      <w:r>
        <w:rPr>
          <w:rFonts w:ascii="Georgia" w:cs="Georgia" w:eastAsia="Georgia" w:hAnsi="Georgia"/>
          <w:sz w:val="22"/>
          <w:szCs w:val="22"/>
        </w:rPr>
        <w:t xml:space="preserve">March 2026</w:t>
      </w:r>
    </w:p>
    <w:p>
      <w:pPr>
        <w:pBdr>
          <w:bottom w:val="single" w:color="999999" w:sz="6" w:space="1"/>
        </w:pBdr>
        <w:spacing w:after="200"/>
      </w:pPr>
    </w:p>
    <w:p>
      <w:pPr>
        <w:spacing w:after="100"/>
      </w:pPr>
      <w:r>
        <w:rPr>
          <w:rFonts w:ascii="Georgia" w:cs="Georgia" w:eastAsia="Georgia" w:hAnsi="Georgia"/>
          <w:b/>
          <w:bCs/>
          <w:sz w:val="22"/>
          <w:szCs w:val="22"/>
        </w:rPr>
        <w:t xml:space="preserve">Abstract</w:t>
      </w:r>
    </w:p>
    <w:p>
      <w:pPr>
        <w:spacing w:after="180" w:line="300"/>
        <w:jc w:val="both"/>
      </w:pPr>
      <w:r>
        <w:rPr>
          <w:rFonts w:ascii="Georgia" w:cs="Georgia" w:eastAsia="Georgia" w:hAnsi="Georgia"/>
          <w:i/>
          <w:iCs/>
          <w:sz w:val="22"/>
          <w:szCs w:val="22"/>
        </w:rPr>
        <w:t xml:space="preserve">The Gravity Field Dynamics (GFD) framework derives a zero-free-parameter constitutive law from the topology of the stellated octahedron. This letter proposes that the Great Pyramid of Giza instantiates that topology as a physical resonant antenna. Using GFD’s coupling polynomial, kinetic functional, and bimetric locking conditions, we identify a functional role for every known architectural element of the structure: the gold capstone as an electromagnetic input coupler, the limestone bulk as a lattice propagation medium, the granite King’s Chamber as a shielded field-origin cavity, the sealed Queen’s Chamber shafts as internal frequency selectors, the open King’s Chamber shafts as directional beam elements, and the subterranean chamber as an electrical ground return. The dimensional analysis of the three-pyramid Giza array reveals frequency ratios that correspond to structural constants of the GFD coupling polynomial, particularly 17/8 at 0.03% precision. The GFD energy functional F(y) identifies a soft transport threshold at the bimetric lock condition, where the coupling fraction exceeds 1/φ² ≈ 0.382.</w:t>
      </w:r>
    </w:p>
    <w:p>
      <w:pPr>
        <w:spacing w:before="360" w:after="200"/>
      </w:pPr>
      <w:r>
        <w:rPr>
          <w:rFonts w:ascii="Georgia" w:cs="Georgia" w:eastAsia="Georgia" w:hAnsi="Georgia"/>
          <w:b/>
          <w:bCs/>
          <w:sz w:val="26"/>
          <w:szCs w:val="26"/>
        </w:rPr>
        <w:t xml:space="preserve">1. Why the Stellated Octahedron Demands a Physical Structure</w:t>
      </w:r>
    </w:p>
    <w:p>
      <w:pPr>
        <w:spacing w:after="180" w:line="300"/>
        <w:jc w:val="both"/>
      </w:pPr>
      <w:r>
        <w:rPr>
          <w:rFonts w:ascii="Georgia" w:cs="Georgia" w:eastAsia="Georgia" w:hAnsi="Georgia"/>
          <w:sz w:val="22"/>
          <w:szCs w:val="22"/>
        </w:rPr>
        <w:t xml:space="preserve">The Gravity Field Dynamics framework begins with a simple closure condition: in how many spatial dimensions can a dual-simplex topology close on itself? The Diophantine equation 2(D+1) = 2ᴰ admits a unique solution at D = 3, fixing the closure constant K = 4. This yields the stellated octahedron as the interior field geometry of gravitation—not as metaphor, but as the literal topological scaffold through which the gravitational field propagates. Its f-vector (8 vertices, 12 edges, 8 faces) sums to 28, and the coupling polynomial f(K, s) = 1 + sK + K² evaluated at K = 4 produces three structural states: 21 channels at full coupling (TetA), 17 at the field origin, and 13 at the structural floor (TetB). The range is 8 = 2ᴰ, and the constitutive law μ(x) = x/(x+1) emerges as the normalized continuous form of this polynomial via the Möbius map s(x) = (x−1)/(x+1).</w:t>
      </w:r>
    </w:p>
    <w:p>
      <w:pPr>
        <w:spacing w:after="180" w:line="300"/>
        <w:jc w:val="both"/>
      </w:pPr>
      <w:r>
        <w:rPr>
          <w:rFonts w:ascii="Georgia" w:cs="Georgia" w:eastAsia="Georgia" w:hAnsi="Georgia"/>
          <w:sz w:val="22"/>
          <w:szCs w:val="22"/>
        </w:rPr>
        <w:t xml:space="preserve">The central result of this letter is that a physical structure designed to exploit this topology would necessarily resemble the Great Pyramid of Giza in its architecture. The reasoning is as follows. A scale-invariant gravitational field requires a propagation medium with self-similar structure at multiple scales—a Sierpinski antenna. The dual-tetrad topology of the stellated octahedron maps directly onto a dual Sierpinski gasket: TetA and TetB as two self-similar resonant cavities coupled through a nonlinear throat at the field origin. In antenna theory, this is a standard impedance-matched dual-resonator configuration, with the Möbius map serving as the impedance transformation between the two chambers. The field origin at s = 0 (where f = 17) is the coupling throat where maximum sensitivity occurs—and where shielding is most critical.</w:t>
      </w:r>
    </w:p>
    <w:p>
      <w:pPr>
        <w:spacing w:before="360" w:after="200"/>
      </w:pPr>
      <w:r>
        <w:rPr>
          <w:rFonts w:ascii="Georgia" w:cs="Georgia" w:eastAsia="Georgia" w:hAnsi="Georgia"/>
          <w:b/>
          <w:bCs/>
          <w:sz w:val="26"/>
          <w:szCs w:val="26"/>
        </w:rPr>
        <w:t xml:space="preserve">2. Architectural Mapping: From Topology to Stone</w:t>
      </w:r>
    </w:p>
    <w:p>
      <w:pPr>
        <w:spacing w:before="280" w:after="160"/>
      </w:pPr>
      <w:r>
        <w:rPr>
          <w:rFonts w:ascii="Georgia" w:cs="Georgia" w:eastAsia="Georgia" w:hAnsi="Georgia"/>
          <w:b/>
          <w:bCs/>
          <w:i/>
          <w:iCs/>
          <w:sz w:val="24"/>
          <w:szCs w:val="24"/>
        </w:rPr>
        <w:t xml:space="preserve">2.1 Power Input: The Gold Capstone</w:t>
      </w:r>
    </w:p>
    <w:p>
      <w:pPr>
        <w:spacing w:after="180" w:line="300"/>
        <w:jc w:val="both"/>
      </w:pPr>
      <w:r>
        <w:rPr>
          <w:rFonts w:ascii="Georgia" w:cs="Georgia" w:eastAsia="Georgia" w:hAnsi="Georgia"/>
          <w:sz w:val="22"/>
          <w:szCs w:val="22"/>
        </w:rPr>
        <w:t xml:space="preserve">The apex of the pyramid corresponds to the TetA vertex—the high-coupling boundary of the stellated octahedron. A gold (or electrum) capstone at this position serves as an electromagnetic input coupler, collecting the Earth’s ambient field and feeding it into the structure. Gold is the only material that maintains a pristine conductive surface indefinitely under atmospheric conditions; any oxide layer would degrade the impedance match between the Earth’s field and the lattice. This is not ornamentation. It is a functional requirement for a stable, long-duration coupling interface.</w:t>
      </w:r>
    </w:p>
    <w:p>
      <w:pPr>
        <w:spacing w:before="280" w:after="160"/>
      </w:pPr>
      <w:r>
        <w:rPr>
          <w:rFonts w:ascii="Georgia" w:cs="Georgia" w:eastAsia="Georgia" w:hAnsi="Georgia"/>
          <w:b/>
          <w:bCs/>
          <w:i/>
          <w:iCs/>
          <w:sz w:val="24"/>
          <w:szCs w:val="24"/>
        </w:rPr>
        <w:t xml:space="preserve">2.2 Propagation Medium: The Limestone Lattice</w:t>
      </w:r>
    </w:p>
    <w:p>
      <w:pPr>
        <w:spacing w:after="180" w:line="300"/>
        <w:jc w:val="both"/>
      </w:pPr>
      <w:r>
        <w:rPr>
          <w:rFonts w:ascii="Georgia" w:cs="Georgia" w:eastAsia="Georgia" w:hAnsi="Georgia"/>
          <w:sz w:val="22"/>
          <w:szCs w:val="22"/>
        </w:rPr>
        <w:t xml:space="preserve">The bulk of the pyramid—approximately 2.3 million limestone blocks totaling some 6 million tonnes—is the propagation medium. The crystalline lattice structure of limestone distributes the field coupled in by the capstone throughout the interior volume. The pyramid is not a container for the field; it is the medium through which the field propagates, precisely as the stellated octahedron in GFD is not a boundary but the medium itself. Every point in the lattice maps to a point inside the topology via the acceleration ratio x = gₜ/a₀.</w:t>
      </w:r>
    </w:p>
    <w:p>
      <w:pPr>
        <w:spacing w:before="280" w:after="160"/>
      </w:pPr>
      <w:r>
        <w:rPr>
          <w:rFonts w:ascii="Georgia" w:cs="Georgia" w:eastAsia="Georgia" w:hAnsi="Georgia"/>
          <w:b/>
          <w:bCs/>
          <w:i/>
          <w:iCs/>
          <w:sz w:val="24"/>
          <w:szCs w:val="24"/>
        </w:rPr>
        <w:t xml:space="preserve">2.3 The Field Origin: Granite Shielding at the King’s Chamber</w:t>
      </w:r>
    </w:p>
    <w:p>
      <w:pPr>
        <w:spacing w:after="180" w:line="300"/>
        <w:jc w:val="both"/>
      </w:pPr>
      <w:r>
        <w:rPr>
          <w:rFonts w:ascii="Georgia" w:cs="Georgia" w:eastAsia="Georgia" w:hAnsi="Georgia"/>
          <w:sz w:val="22"/>
          <w:szCs w:val="22"/>
        </w:rPr>
        <w:t xml:space="preserve">The King’s Chamber, constructed entirely of pink Aswan granite, sits near the one-third height mark of the pyramid—the approximate position of the field origin in the dual-tetrad topology. Granite is non-piezoelectric. In a structure where billions of tonnes of limestone under compressive self-weight generate a piezoelectric field, the granite chamber creates a shielded null zone at the coupling throat. This is standard practice in precision resonant systems: the point of maximum coupling sensitivity must be insulated from the noise of the field source. The five relieving chambers stacked above the King’s Chamber are not merely structural. In waveguide theory, stacked resonant cavities with slightly different dimensions form a coupled-cavity bandpass filter—a frequency-selective element that shapes the spectral response at the field origin.</w:t>
      </w:r>
    </w:p>
    <w:p>
      <w:pPr>
        <w:spacing w:after="180" w:line="300"/>
        <w:jc w:val="both"/>
      </w:pPr>
      <w:r>
        <w:rPr>
          <w:rFonts w:ascii="Georgia" w:cs="Georgia" w:eastAsia="Georgia" w:hAnsi="Georgia"/>
          <w:sz w:val="22"/>
          <w:szCs w:val="22"/>
        </w:rPr>
        <w:t xml:space="preserve">A striking result from the GFD energy functional supports this identification. At the field origin (x = 1, y = 1), the ratio of the second derivative to the first derivative of the kinetic functional F(y) is exactly </w:t>
      </w:r>
      <w:r>
        <w:rPr>
          <w:rFonts w:ascii="Georgia" w:cs="Georgia" w:eastAsia="Georgia" w:hAnsi="Georgia"/>
          <w:i/>
          <w:iCs/>
          <w:sz w:val="22"/>
          <w:szCs w:val="22"/>
        </w:rPr>
        <w:t xml:space="preserve">F′′(1)/F′(1) = 1/K = 1/4</w:t>
      </w:r>
      <w:r>
        <w:rPr>
          <w:rFonts w:ascii="Georgia" w:cs="Georgia" w:eastAsia="Georgia" w:hAnsi="Georgia"/>
          <w:sz w:val="22"/>
          <w:szCs w:val="22"/>
        </w:rPr>
        <w:t xml:space="preserve">. The curvature-to-slope ratio of the energy landscape at the coupling throat encodes the closure constant. This is not imposed; it falls directly from the functional form F(y) = y − 2√y + 2 ln(1 + √y).</w:t>
      </w:r>
    </w:p>
    <w:p>
      <w:pPr>
        <w:spacing w:before="280" w:after="160"/>
      </w:pPr>
      <w:r>
        <w:rPr>
          <w:rFonts w:ascii="Georgia" w:cs="Georgia" w:eastAsia="Georgia" w:hAnsi="Georgia"/>
          <w:b/>
          <w:bCs/>
          <w:i/>
          <w:iCs/>
          <w:sz w:val="24"/>
          <w:szCs w:val="24"/>
        </w:rPr>
        <w:t xml:space="preserve">2.4 Frequency Selection: The Sealed Queen’s Chamber Shafts</w:t>
      </w:r>
    </w:p>
    <w:p>
      <w:pPr>
        <w:spacing w:after="180" w:line="300"/>
        <w:jc w:val="both"/>
      </w:pPr>
      <w:r>
        <w:rPr>
          <w:rFonts w:ascii="Georgia" w:cs="Georgia" w:eastAsia="Georgia" w:hAnsi="Georgia"/>
          <w:sz w:val="22"/>
          <w:szCs w:val="22"/>
        </w:rPr>
        <w:t xml:space="preserve">The Queen’s Chamber contains two narrow shafts, sealed at both ends—blocked inside the chamber by the original masonry and terminated before the pyramid’s exterior by limestone slabs fitted with copper elements. A sealed shaft with defined geometry and conductive terminations is a standing-wave cavity: a resonant tube with fixed boundary conditions that establishes a specific frequency mode without radiating. The copper is not decorative; it is an impedance termination. These shafts set the resonant frequency of the entire structure—the equivalent of tuning a guitar at the bridge.</w:t>
      </w:r>
    </w:p>
    <w:p>
      <w:pPr>
        <w:spacing w:before="280" w:after="160"/>
      </w:pPr>
      <w:r>
        <w:rPr>
          <w:rFonts w:ascii="Georgia" w:cs="Georgia" w:eastAsia="Georgia" w:hAnsi="Georgia"/>
          <w:b/>
          <w:bCs/>
          <w:i/>
          <w:iCs/>
          <w:sz w:val="24"/>
          <w:szCs w:val="24"/>
        </w:rPr>
        <w:t xml:space="preserve">2.5 Directional Beam Forming: The Open King’s Chamber Shafts</w:t>
      </w:r>
    </w:p>
    <w:p>
      <w:pPr>
        <w:spacing w:after="180" w:line="300"/>
        <w:jc w:val="both"/>
      </w:pPr>
      <w:r>
        <w:rPr>
          <w:rFonts w:ascii="Georgia" w:cs="Georgia" w:eastAsia="Georgia" w:hAnsi="Georgia"/>
          <w:sz w:val="22"/>
          <w:szCs w:val="22"/>
        </w:rPr>
        <w:t xml:space="preserve">The King’s Chamber has two open shafts, approximately 20 centimeters square, exiting through the pyramid’s north and south faces at distinct angles (approximately 31° and 45° respectively). These are waveguide apertures—directional antenna elements that concentrate the coupled energy into narrow beams rather than radiating omnidirectionally. The directional gain from confining emission to two narrow channels dramatically increases the effective power at the target, overcoming inverse-square losses. In operational terms, the sealed shafts select the frequency; the open shafts select the direction.</w:t>
      </w:r>
    </w:p>
    <w:p>
      <w:pPr>
        <w:spacing w:before="280" w:after="160"/>
      </w:pPr>
      <w:r>
        <w:rPr>
          <w:rFonts w:ascii="Georgia" w:cs="Georgia" w:eastAsia="Georgia" w:hAnsi="Georgia"/>
          <w:b/>
          <w:bCs/>
          <w:i/>
          <w:iCs/>
          <w:sz w:val="24"/>
          <w:szCs w:val="24"/>
        </w:rPr>
        <w:t xml:space="preserve">2.6 Ground Return: The Subterranean Chamber</w:t>
      </w:r>
    </w:p>
    <w:p>
      <w:pPr>
        <w:spacing w:after="180" w:line="300"/>
        <w:jc w:val="both"/>
      </w:pPr>
      <w:r>
        <w:rPr>
          <w:rFonts w:ascii="Georgia" w:cs="Georgia" w:eastAsia="Georgia" w:hAnsi="Georgia"/>
          <w:sz w:val="22"/>
          <w:szCs w:val="22"/>
        </w:rPr>
        <w:t xml:space="preserve">The subterranean chamber, carved into the bedrock beneath the pyramid and connected by a long descending passage, completes the circuit. Every antenna requires a ground plane. The subterranean chamber—rough-hewn, unfinished, in direct contact with the bedrock and the water table below—provides the electrical ground return for the field coupled in through the capstone. Its unfinished state is consistent with this function: a ground return needs surface area and conductive contact with the Earth, not architectural refinement.</w:t>
      </w:r>
    </w:p>
    <w:p>
      <w:pPr>
        <w:spacing w:before="360" w:after="200"/>
      </w:pPr>
      <w:r>
        <w:rPr>
          <w:rFonts w:ascii="Georgia" w:cs="Georgia" w:eastAsia="Georgia" w:hAnsi="Georgia"/>
          <w:b/>
          <w:bCs/>
          <w:sz w:val="26"/>
          <w:szCs w:val="26"/>
        </w:rPr>
        <w:t xml:space="preserve">3. The Three-Pyramid Array and Dimensional Encoding</w:t>
      </w:r>
    </w:p>
    <w:p>
      <w:pPr>
        <w:spacing w:after="180" w:line="300"/>
        <w:jc w:val="both"/>
      </w:pPr>
      <w:r>
        <w:rPr>
          <w:rFonts w:ascii="Georgia" w:cs="Georgia" w:eastAsia="Georgia" w:hAnsi="Georgia"/>
          <w:sz w:val="22"/>
          <w:szCs w:val="22"/>
        </w:rPr>
        <w:t xml:space="preserve">The Giza complex comprises three pyramids of markedly different size: Khufu (base 440 royal cubits), Khafre (411 cubits), and Menkaure (approximately 207 cubits). Only the Great Pyramid contains the full internal architecture described above. Khafre and Menkaure are largely solid masses of stone with minimal internal structure. This asymmetry is consistent with a one-active, two-passive antenna array: a single powered transmitter coupled through the shared bedrock ground plane to two passive resonators at different frequencies, providing D = 3 independent frequency channels for spatial triangulation.</w:t>
      </w:r>
    </w:p>
    <w:p>
      <w:pPr>
        <w:spacing w:after="180" w:line="300"/>
        <w:jc w:val="both"/>
      </w:pPr>
      <w:r>
        <w:rPr>
          <w:rFonts w:ascii="Georgia" w:cs="Georgia" w:eastAsia="Georgia" w:hAnsi="Georgia"/>
          <w:sz w:val="22"/>
          <w:szCs w:val="22"/>
        </w:rPr>
        <w:t xml:space="preserve">Dimensional analysis reveals framework-significant ratios. The frequency ratio between Menkaure and Khufu (proportional to the inverse base lengths in cubits) is 440/207 = 2.1256, matching the GFD ratio 17/8 = 2.125 to 0.03% precision—the field-origin channel count divided by the topological range. The ratio between Khafre and Menkaure is 411/207 = 1.9855, matching the Sierpinski scale factor of 2 to 0.72%. These are not arbitrary proportions; they encode the coupling polynomial’s structural constants in the physical spacing of the array.</w:t>
      </w:r>
    </w:p>
    <w:p>
      <w:pPr>
        <w:spacing w:after="180" w:line="300"/>
        <w:jc w:val="both"/>
      </w:pPr>
      <w:r>
        <w:rPr>
          <w:rFonts w:ascii="Georgia" w:cs="Georgia" w:eastAsia="Georgia" w:hAnsi="Georgia"/>
          <w:sz w:val="22"/>
          <w:szCs w:val="22"/>
        </w:rPr>
        <w:t xml:space="preserve">The Great Pyramid’s own dimensions encode the stellated octahedron directly. Its height of 280 royal cubits equals 10 × 28—ten times the total geometric element count of the stellated octahedron. The base-to-height ratio 440/280 = 11/7 approximates π/2 to 0.04%. These are not numerological coincidences in the context of a framework where 28 is the f-vector sum and π emerges from the field closure principle.</w:t>
      </w:r>
    </w:p>
    <w:p>
      <w:pPr>
        <w:spacing w:before="360" w:after="200"/>
      </w:pPr>
      <w:r>
        <w:rPr>
          <w:rFonts w:ascii="Georgia" w:cs="Georgia" w:eastAsia="Georgia" w:hAnsi="Georgia"/>
          <w:b/>
          <w:bCs/>
          <w:sz w:val="26"/>
          <w:szCs w:val="26"/>
        </w:rPr>
        <w:t xml:space="preserve">4. The Transport Threshold: Energy Functional Analysis</w:t>
      </w:r>
    </w:p>
    <w:p>
      <w:pPr>
        <w:spacing w:after="180" w:line="300"/>
        <w:jc w:val="both"/>
      </w:pPr>
      <w:r>
        <w:rPr>
          <w:rFonts w:ascii="Georgia" w:cs="Georgia" w:eastAsia="Georgia" w:hAnsi="Georgia"/>
          <w:sz w:val="22"/>
          <w:szCs w:val="22"/>
        </w:rPr>
        <w:t xml:space="preserve">The GFD kinetic functional F(y) = y − 2√y + 2 ln(1+√y) governs the energy density of the scalar coupling sector. Its first derivative recovers the constitutive law: dF/dy = μ(√y). The functional is smooth and monotonic—there is no hard phase transition. However, the bimetric locking analysis provides a soft threshold. The GFD bimetric lock paper derives Hassan–Rosen coefficients {1, 0, 16, 0, 1} and predicts a MOND-transition coupling fraction of μ(1) = 1/φ² ≈ 0.382, where φ is the golden ratio.</w:t>
      </w:r>
    </w:p>
    <w:p>
      <w:pPr>
        <w:spacing w:after="180" w:line="300"/>
        <w:jc w:val="both"/>
      </w:pPr>
      <w:r>
        <w:rPr>
          <w:rFonts w:ascii="Georgia" w:cs="Georgia" w:eastAsia="Georgia" w:hAnsi="Georgia"/>
          <w:sz w:val="22"/>
          <w:szCs w:val="22"/>
        </w:rPr>
        <w:t xml:space="preserve">This threshold partitions the coupling regime into two domains. Below μ = 1/φ², the two metrics of the bimetric theory decouple: TetA and TetB are effectively independent, and only information (signal) can propagate through the throat. Above μ = 1/φ², the bimetric lock engages, the two metrics couple structurally, and the throat opens for what we may term transport—physical passage through the field origin between the two tetrahedral chambers. This corresponds to an acceleration ratio x = 1/φ ≈ 0.618, a field equation value f = 16.06 channels, and a kinetic functional value F = 0.108.</w:t>
      </w:r>
    </w:p>
    <w:p>
      <w:pPr>
        <w:spacing w:after="180" w:line="300"/>
        <w:jc w:val="both"/>
      </w:pPr>
      <w:r>
        <w:rPr>
          <w:rFonts w:ascii="Georgia" w:cs="Georgia" w:eastAsia="Georgia" w:hAnsi="Georgia"/>
          <w:sz w:val="22"/>
          <w:szCs w:val="22"/>
        </w:rPr>
        <w:t xml:space="preserve">Crucially, the scalar field energy density is extraordinarily small: a₀²/(8πG) ≈ 8.6 × 10⁻¹² J/m³. The total scalar coupling energy stored in the Great Pyramid’s volume at the bimetric threshold is on the order of microwatts. The pyramid is not an energy storage device. It is a waveguide—a coupling conduit. The gold capstone provides continuous power from the Earth’s field; the limestone lattice conducts it; the architecture shapes it. The engineering requirement is sustained throughput, not accumulated charge.</w:t>
      </w:r>
    </w:p>
    <w:p>
      <w:pPr>
        <w:spacing w:before="360" w:after="200"/>
      </w:pPr>
      <w:r>
        <w:rPr>
          <w:rFonts w:ascii="Georgia" w:cs="Georgia" w:eastAsia="Georgia" w:hAnsi="Georgia"/>
          <w:b/>
          <w:bCs/>
          <w:sz w:val="26"/>
          <w:szCs w:val="26"/>
        </w:rPr>
        <w:t xml:space="preserve">5. Concluding Remarks</w:t>
      </w:r>
    </w:p>
    <w:p>
      <w:pPr>
        <w:spacing w:after="180" w:line="300"/>
        <w:jc w:val="both"/>
      </w:pPr>
      <w:r>
        <w:rPr>
          <w:rFonts w:ascii="Georgia" w:cs="Georgia" w:eastAsia="Georgia" w:hAnsi="Georgia"/>
          <w:sz w:val="22"/>
          <w:szCs w:val="22"/>
        </w:rPr>
        <w:t xml:space="preserve">The Gravity Field Dynamics framework provides a complete, zero-free-parameter description of the gravitational field’s interior topology. When this topology is projected onto the architectural record of the Great Pyramid, every known element—capstone, limestone bulk, granite chamber, sealed shafts, open shafts, relieving chambers, subterranean chamber, and the three-pyramid array—acquires a specific functional identity within the dual-tetrad resonant antenna interpretation. The dimensional encoding of 28 in the height, π in the base-to-height ratio, and 17/8 in the array frequency spacing suggests that the builders possessed a working knowledge of the coupling polynomial’s structural constants.</w:t>
      </w:r>
    </w:p>
    <w:p>
      <w:pPr>
        <w:spacing w:after="180" w:line="300"/>
        <w:jc w:val="both"/>
      </w:pPr>
      <w:r>
        <w:rPr>
          <w:rFonts w:ascii="Georgia" w:cs="Georgia" w:eastAsia="Georgia" w:hAnsi="Georgia"/>
          <w:sz w:val="22"/>
          <w:szCs w:val="22"/>
        </w:rPr>
        <w:t xml:space="preserve">This letter does not claim to resolve the historical question of the pyramid’s purpose. It does claim that if a civilization sought to build a physical instantiation of the stellated octahedron field topology—a device capable of resonant coupling between two matched dual-tetrad structures across arbitrary distance—the resulting architecture would be functionally indistinguishable from what stands at Giza.</w:t>
      </w:r>
    </w:p>
    <w:p>
      <w:pPr>
        <w:pBdr>
          <w:bottom w:val="single" w:color="999999" w:sz="6" w:space="1"/>
        </w:pBdr>
        <w:spacing w:before="300" w:after="200"/>
      </w:pPr>
    </w:p>
    <w:p>
      <w:pPr>
        <w:spacing w:after="60"/>
      </w:pPr>
      <w:r>
        <w:rPr>
          <w:rFonts w:ascii="Georgia" w:cs="Georgia" w:eastAsia="Georgia" w:hAnsi="Georgia"/>
          <w:i/>
          <w:iCs/>
          <w:sz w:val="20"/>
          <w:szCs w:val="20"/>
        </w:rPr>
        <w:t xml:space="preserve">Correspondence: </w:t>
      </w:r>
      <w:r>
        <w:rPr>
          <w:rFonts w:ascii="Georgia" w:cs="Georgia" w:eastAsia="Georgia" w:hAnsi="Georgia"/>
          <w:i/>
          <w:iCs/>
          <w:sz w:val="20"/>
          <w:szCs w:val="20"/>
        </w:rPr>
        <w:t xml:space="preserve">docs.fielddynamics.org</w:t>
      </w:r>
    </w:p>
    <w:p>
      <w:pPr>
        <w:spacing w:after="60"/>
      </w:pPr>
      <w:r>
        <w:rPr>
          <w:rFonts w:ascii="Georgia" w:cs="Georgia" w:eastAsia="Georgia" w:hAnsi="Georgia"/>
          <w:i/>
          <w:iCs/>
          <w:sz w:val="20"/>
          <w:szCs w:val="20"/>
        </w:rPr>
        <w:t xml:space="preserve">Framework documentation and validation tests available at the above address.</w:t>
      </w:r>
    </w:p>
    <w:p>
      <w:r>
        <w:rPr>
          <w:rFonts w:ascii="Georgia" w:cs="Georgia" w:eastAsia="Georgia" w:hAnsi="Georgia"/>
          <w:i/>
          <w:iCs/>
          <w:sz w:val="20"/>
          <w:szCs w:val="20"/>
        </w:rPr>
        <w:t xml:space="preserve">© 2026 Stephen Nelson. Code: MIT License. Documentation: CC BY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2026-03-14T01:19:59.622Z</dcterms:created>
  <dcterms:modified xsi:type="dcterms:W3CDTF">2026-03-14T01:19:59.623Z</dcterms:modified>
</cp:coreProperties>
</file>

<file path=docProps/custom.xml><?xml version="1.0" encoding="utf-8"?>
<Properties xmlns="http://schemas.openxmlformats.org/officeDocument/2006/custom-properties" xmlns:vt="http://schemas.openxmlformats.org/officeDocument/2006/docPropsVTypes"/>
</file>