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left"/>
      </w:pPr>
      <w:r>
        <w:rPr>
          <w:rFonts w:ascii="Calibri" w:hAnsi="Calibri"/>
          <w:b/>
          <w:color w:val="1E3A8A"/>
          <w:sz w:val="56"/>
        </w:rPr>
        <w:t>Security Architecture, RBAC &amp; Sequence Diagrams</w:t>
      </w:r>
    </w:p>
    <w:p>
      <w:pPr>
        <w:spacing w:after="280"/>
        <w:jc w:val="left"/>
      </w:pPr>
      <w:r>
        <w:rPr>
          <w:rFonts w:ascii="Calibri" w:hAnsi="Calibri"/>
          <w:i/>
          <w:color w:val="64748B"/>
          <w:sz w:val="26"/>
        </w:rPr>
        <w:t>7-Layer Defense-in-Depth, Role-Based Access Control &amp; Core Lifecycle Sequences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 w:sz="0" w:space="0" w:color="auto"/>
          <w:bottom w:val="single" w:sz="8" w:space="0" w:color="E2E8F0"/>
          <w:right w:val="none" w:sz="0" w:space="0" w:color="auto"/>
          <w:insideH w:val="single" w:sz="4" w:space="0" w:color="E2E8F0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DOCUMENT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Security Architecture, RBAC &amp; Sequence Diagrams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AUTHOR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SkillAlign Architecture Team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STATUS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Production Verified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VERSION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2.0 Consolidated</w:t>
            </w:r>
          </w:p>
        </w:tc>
      </w:tr>
    </w:tbl>
    <w:p>
      <w:pPr>
        <w:spacing w:before="160" w:after="160"/>
      </w:pPr>
    </w:p>
    <w:p>
      <w:pPr>
        <w:spacing w:before="360" w:after="120"/>
      </w:pPr>
      <w:r>
        <w:rPr>
          <w:rFonts w:ascii="Calibri" w:hAnsi="Calibri"/>
          <w:b/>
          <w:color w:val="1E3A8A"/>
          <w:sz w:val="40"/>
        </w:rPr>
        <w:t>Volume 07: Security Architecture, RBAC &amp; Sequence Diagrams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This volume details the security architecture, Role-Based Access Control (RBAC) enforcement, rate limiting, error propagation mechanisms, and 8 comprehensive Mermaid sequence diagrams representing the core operational flows of SkillAlign.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1. Role-Based Access Control (RBAC) Matrix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SkillAlign enforces role permissions at both the API Gateway layer (</w:t>
      </w:r>
      <w:r>
        <w:rPr>
          <w:rFonts w:ascii="Calibri" w:hAnsi="Calibri"/>
          <w:color w:val="2563EB"/>
          <w:sz w:val="24"/>
          <w:u w:val="single"/>
        </w:rPr>
        <w:t>dependencies.py</w:t>
      </w:r>
      <w:r>
        <w:rPr>
          <w:rFonts w:ascii="Calibri" w:hAnsi="Calibri"/>
          <w:color w:val="1E293B"/>
          <w:sz w:val="24"/>
        </w:rPr>
        <w:t>) and within domain service handlers (</w:t>
      </w:r>
      <w:r>
        <w:rPr>
          <w:rFonts w:ascii="Calibri" w:hAnsi="Calibri"/>
          <w:color w:val="2563EB"/>
          <w:sz w:val="24"/>
          <w:u w:val="single"/>
        </w:rPr>
        <w:t>workflow_service.py</w:t>
      </w:r>
      <w:r>
        <w:rPr>
          <w:rFonts w:ascii="Calibri" w:hAnsi="Calibri"/>
          <w:color w:val="1E293B"/>
          <w:sz w:val="24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System Capability / Operation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Admin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HR / Hiring Manager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Recruiter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Candidate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Candidate Self-Registration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Manage Users &amp; Role Assignment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Curate Global Skill Taxonomy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  <w:r>
              <w:rPr>
                <w:rFonts w:ascii="Calibri" w:hAnsi="Calibri"/>
                <w:color w:val="1E293B"/>
                <w:sz w:val="21"/>
              </w:rPr>
              <w:t xml:space="preserve"> (Add only)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Create &amp; Edit Job Requisitions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Trigger Matching Engine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Claim Candidate Ownership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Screen / Shortlist Candidates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Review Shortlist (HM Decision)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Request Interview Round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Propose Interview Slots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Select Preferred Interview Slot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  <w:r>
              <w:rPr>
                <w:rFonts w:ascii="Calibri" w:hAnsi="Calibri"/>
                <w:color w:val="1E293B"/>
                <w:sz w:val="21"/>
              </w:rPr>
              <w:t xml:space="preserve"> (via Token)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Conduct Interview &amp; Submit Scorecard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Draft Offer Financial Terms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Approve Formal Offer Letter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Accept / Decline Offer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✗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  <w:r>
              <w:rPr>
                <w:rFonts w:ascii="Calibri" w:hAnsi="Calibri"/>
                <w:color w:val="1E293B"/>
                <w:sz w:val="21"/>
              </w:rPr>
              <w:t xml:space="preserve"> (via Token)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View Full Platform Audit Timeline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✓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Limited (Job scoped)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Limited (Assigned)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Limited (Self)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2. Security Architecture Deep Dive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46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security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Multi-Layered Security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Layered Security Defenses                          │</w:t>
              <w:br/>
              <w:t>├────────────────────────────┬───────────────────────────────────────────┤</w:t>
              <w:br/>
              <w:t>│ 1. Transport Security      │ HTTPS Strict Transport + CORS Whitelist   │</w:t>
              <w:br/>
              <w:t>│ 2. Edge &amp; Rate Limiting    │ SlowAPI Memory Limiter (5/min on Auth)    │</w:t>
              <w:br/>
              <w:t>│ 3. Cryptographic Storage   │ Bcrypt Password Hashing (Salt + 72-Byte)  │</w:t>
              <w:br/>
              <w:t>│ 4. Identity &amp; Token Claims │ HS256 JWT Signed Claims + Expire UTC      │</w:t>
              <w:br/>
              <w:t>│ 5. Public Action Security  │ High-Entropy SHA-256 Tokens (32 Bytes)    │</w:t>
              <w:br/>
              <w:t>│ 6. Input &amp; SQL Injection   │ Pydantic v2 DTOs + SQLAlchemy Params      │</w:t>
              <w:br/>
              <w:t>│ 7. File Upload Sanitation  │ Extension/MIME Whitelist + Path Stripping │</w:t>
              <w:br/>
              <w:t>└────────────────────────────┴───────────────────────────────────────────┘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2.1 Password Hashing &amp; Token Cryptography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Password Hashing</w:t>
      </w:r>
      <w:r>
        <w:rPr>
          <w:rFonts w:ascii="Calibri" w:hAnsi="Calibri"/>
          <w:color w:val="1E293B"/>
          <w:sz w:val="24"/>
        </w:rPr>
        <w:t xml:space="preserve">: Implemented in </w:t>
      </w:r>
      <w:r>
        <w:rPr>
          <w:rFonts w:ascii="Calibri" w:hAnsi="Calibri"/>
          <w:color w:val="2563EB"/>
          <w:sz w:val="24"/>
          <w:u w:val="single"/>
        </w:rPr>
        <w:t>security.py</w:t>
      </w:r>
      <w:r>
        <w:rPr>
          <w:rFonts w:ascii="Calibri" w:hAnsi="Calibri"/>
          <w:color w:val="1E293B"/>
          <w:sz w:val="24"/>
        </w:rPr>
        <w:t xml:space="preserve"> using </w:t>
      </w:r>
      <w:r>
        <w:rPr>
          <w:rFonts w:ascii="Consolas" w:hAnsi="Consolas"/>
          <w:b/>
          <w:color w:val="1E3A8A"/>
          <w:sz w:val="20"/>
        </w:rPr>
        <w:t>bcrypt.hashpw()</w:t>
      </w:r>
      <w:r>
        <w:rPr>
          <w:rFonts w:ascii="Calibri" w:hAnsi="Calibri"/>
          <w:color w:val="1E293B"/>
          <w:sz w:val="24"/>
        </w:rPr>
        <w:t xml:space="preserve"> with standard salt generation. Truncates input strings to 72 bytes to strictly conform to bcrypt specifications.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JWT Access Tokens</w:t>
      </w:r>
      <w:r>
        <w:rPr>
          <w:rFonts w:ascii="Calibri" w:hAnsi="Calibri"/>
          <w:color w:val="1E293B"/>
          <w:sz w:val="24"/>
        </w:rPr>
        <w:t xml:space="preserve">: Encoded via </w:t>
      </w:r>
      <w:r>
        <w:rPr>
          <w:rFonts w:ascii="Consolas" w:hAnsi="Consolas"/>
          <w:b/>
          <w:color w:val="1E3A8A"/>
          <w:sz w:val="20"/>
        </w:rPr>
        <w:t>python-jose</w:t>
      </w:r>
      <w:r>
        <w:rPr>
          <w:rFonts w:ascii="Calibri" w:hAnsi="Calibri"/>
          <w:color w:val="1E293B"/>
          <w:sz w:val="24"/>
        </w:rPr>
        <w:t xml:space="preserve"> using HMAC-SHA256 (</w:t>
      </w:r>
      <w:r>
        <w:rPr>
          <w:rFonts w:ascii="Consolas" w:hAnsi="Consolas"/>
          <w:b/>
          <w:color w:val="1E3A8A"/>
          <w:sz w:val="20"/>
        </w:rPr>
        <w:t>HS256</w:t>
      </w:r>
      <w:r>
        <w:rPr>
          <w:rFonts w:ascii="Calibri" w:hAnsi="Calibri"/>
          <w:color w:val="1E293B"/>
          <w:sz w:val="24"/>
        </w:rPr>
        <w:t xml:space="preserve">) signed with </w:t>
      </w:r>
      <w:r>
        <w:rPr>
          <w:rFonts w:ascii="Consolas" w:hAnsi="Consolas"/>
          <w:b/>
          <w:color w:val="1E3A8A"/>
          <w:sz w:val="20"/>
        </w:rPr>
        <w:t>JWT_SECRET_KEY</w:t>
      </w:r>
      <w:r>
        <w:rPr>
          <w:rFonts w:ascii="Calibri" w:hAnsi="Calibri"/>
          <w:color w:val="1E293B"/>
          <w:sz w:val="24"/>
        </w:rPr>
        <w:t>. Payloads include subject (</w:t>
      </w:r>
      <w:r>
        <w:rPr>
          <w:rFonts w:ascii="Consolas" w:hAnsi="Consolas"/>
          <w:b/>
          <w:color w:val="1E3A8A"/>
          <w:sz w:val="20"/>
        </w:rPr>
        <w:t>sub</w:t>
      </w:r>
      <w:r>
        <w:rPr>
          <w:rFonts w:ascii="Calibri" w:hAnsi="Calibri"/>
          <w:color w:val="1E293B"/>
          <w:sz w:val="24"/>
        </w:rPr>
        <w:t>), role name (</w:t>
      </w:r>
      <w:r>
        <w:rPr>
          <w:rFonts w:ascii="Consolas" w:hAnsi="Consolas"/>
          <w:b/>
          <w:color w:val="1E3A8A"/>
          <w:sz w:val="20"/>
        </w:rPr>
        <w:t>role</w:t>
      </w:r>
      <w:r>
        <w:rPr>
          <w:rFonts w:ascii="Calibri" w:hAnsi="Calibri"/>
          <w:color w:val="1E293B"/>
          <w:sz w:val="24"/>
        </w:rPr>
        <w:t>), user email (</w:t>
      </w:r>
      <w:r>
        <w:rPr>
          <w:rFonts w:ascii="Consolas" w:hAnsi="Consolas"/>
          <w:b/>
          <w:color w:val="1E3A8A"/>
          <w:sz w:val="20"/>
        </w:rPr>
        <w:t>email</w:t>
      </w:r>
      <w:r>
        <w:rPr>
          <w:rFonts w:ascii="Calibri" w:hAnsi="Calibri"/>
          <w:color w:val="1E293B"/>
          <w:sz w:val="24"/>
        </w:rPr>
        <w:t>), and UTC expiry (</w:t>
      </w:r>
      <w:r>
        <w:rPr>
          <w:rFonts w:ascii="Consolas" w:hAnsi="Consolas"/>
          <w:b/>
          <w:color w:val="1E3A8A"/>
          <w:sz w:val="20"/>
        </w:rPr>
        <w:t>exp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Password Reset &amp; Public Action Tokens</w:t>
      </w:r>
      <w:r>
        <w:rPr>
          <w:rFonts w:ascii="Calibri" w:hAnsi="Calibri"/>
          <w:color w:val="1E293B"/>
          <w:sz w:val="24"/>
        </w:rPr>
        <w:t xml:space="preserve">: Generated using </w:t>
      </w:r>
      <w:r>
        <w:rPr>
          <w:rFonts w:ascii="Consolas" w:hAnsi="Consolas"/>
          <w:b/>
          <w:color w:val="1E3A8A"/>
          <w:sz w:val="20"/>
        </w:rPr>
        <w:t>secrets.token_urlsafe(32)</w:t>
      </w:r>
      <w:r>
        <w:rPr>
          <w:rFonts w:ascii="Calibri" w:hAnsi="Calibri"/>
          <w:color w:val="1E293B"/>
          <w:sz w:val="24"/>
        </w:rPr>
        <w:t xml:space="preserve"> providing 256 bits of cryptographic entropy. Reset tokens stored in PostgreSQL as SHA-256 hashes (</w:t>
      </w:r>
      <w:r>
        <w:rPr>
          <w:rFonts w:ascii="Consolas" w:hAnsi="Consolas"/>
          <w:b/>
          <w:color w:val="1E3A8A"/>
          <w:sz w:val="20"/>
        </w:rPr>
        <w:t>hash_reset_token()</w:t>
      </w:r>
      <w:r>
        <w:rPr>
          <w:rFonts w:ascii="Calibri" w:hAnsi="Calibri"/>
          <w:color w:val="1E293B"/>
          <w:sz w:val="24"/>
        </w:rPr>
        <w:t>) preventing database leak exploitation.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2.2 SlowAPI Rate Limiting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Configured on sensitive public endpoints in </w:t>
      </w:r>
      <w:r>
        <w:rPr>
          <w:rFonts w:ascii="Calibri" w:hAnsi="Calibri"/>
          <w:color w:val="2563EB"/>
          <w:sz w:val="24"/>
          <w:u w:val="single"/>
        </w:rPr>
        <w:t>auth.py</w:t>
      </w:r>
      <w:r>
        <w:rPr>
          <w:rFonts w:ascii="Calibri" w:hAnsi="Calibri"/>
          <w:color w:val="1E293B"/>
          <w:sz w:val="24"/>
        </w:rPr>
        <w:t>:</w:t>
      </w:r>
    </w:p>
    <w:p>
      <w:pPr>
        <w:pStyle w:val="ListBullet"/>
        <w:spacing w:after="60" w:line="340" w:lineRule="exact"/>
      </w:pPr>
      <w:r>
        <w:rPr>
          <w:rFonts w:ascii="Consolas" w:hAnsi="Consolas"/>
          <w:b/>
          <w:color w:val="1E3A8A"/>
          <w:sz w:val="20"/>
        </w:rPr>
        <w:t>POST /api/auth/send-otp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5/minute</w:t>
      </w:r>
      <w:r>
        <w:rPr>
          <w:rFonts w:ascii="Calibri" w:hAnsi="Calibri"/>
          <w:color w:val="1E293B"/>
          <w:sz w:val="24"/>
        </w:rPr>
        <w:t xml:space="preserve"> per client IP.</w:t>
      </w:r>
    </w:p>
    <w:p>
      <w:pPr>
        <w:pStyle w:val="ListBullet"/>
        <w:spacing w:after="60" w:line="340" w:lineRule="exact"/>
      </w:pPr>
      <w:r>
        <w:rPr>
          <w:rFonts w:ascii="Consolas" w:hAnsi="Consolas"/>
          <w:b/>
          <w:color w:val="1E3A8A"/>
          <w:sz w:val="20"/>
        </w:rPr>
        <w:t>POST /api/auth/verify-otp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10/minute</w:t>
      </w:r>
      <w:r>
        <w:rPr>
          <w:rFonts w:ascii="Calibri" w:hAnsi="Calibri"/>
          <w:color w:val="1E293B"/>
          <w:sz w:val="24"/>
        </w:rPr>
        <w:t xml:space="preserve"> per client IP.</w:t>
      </w:r>
    </w:p>
    <w:p>
      <w:pPr>
        <w:pStyle w:val="ListBullet"/>
        <w:spacing w:after="60" w:line="340" w:lineRule="exact"/>
      </w:pPr>
      <w:r>
        <w:rPr>
          <w:rFonts w:ascii="Consolas" w:hAnsi="Consolas"/>
          <w:b/>
          <w:color w:val="1E3A8A"/>
          <w:sz w:val="20"/>
        </w:rPr>
        <w:t>POST /api/auth/forgot-password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5/minute</w:t>
      </w:r>
      <w:r>
        <w:rPr>
          <w:rFonts w:ascii="Calibri" w:hAnsi="Calibri"/>
          <w:color w:val="1E293B"/>
          <w:sz w:val="24"/>
        </w:rPr>
        <w:t xml:space="preserve"> per client IP.</w:t>
      </w:r>
    </w:p>
    <w:p>
      <w:pPr>
        <w:pStyle w:val="ListBullet"/>
        <w:spacing w:after="60" w:line="340" w:lineRule="exact"/>
      </w:pPr>
      <w:r>
        <w:rPr>
          <w:rFonts w:ascii="Consolas" w:hAnsi="Consolas"/>
          <w:b/>
          <w:color w:val="1E3A8A"/>
          <w:sz w:val="20"/>
        </w:rPr>
        <w:t>POST /api/auth/reset-password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5/minute</w:t>
      </w:r>
      <w:r>
        <w:rPr>
          <w:rFonts w:ascii="Calibri" w:hAnsi="Calibri"/>
          <w:color w:val="1E293B"/>
          <w:sz w:val="24"/>
        </w:rPr>
        <w:t xml:space="preserve"> per client IP.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2.3 File Upload Sanitation &amp; Storage Security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Allowed Extensions</w:t>
      </w:r>
      <w:r>
        <w:rPr>
          <w:rFonts w:ascii="Calibri" w:hAnsi="Calibri"/>
          <w:color w:val="1E293B"/>
          <w:sz w:val="24"/>
        </w:rPr>
        <w:t>: Whitelist enforced (</w:t>
      </w:r>
      <w:r>
        <w:rPr>
          <w:rFonts w:ascii="Consolas" w:hAnsi="Consolas"/>
          <w:b/>
          <w:color w:val="1E3A8A"/>
          <w:sz w:val="20"/>
        </w:rPr>
        <w:t>.pdf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.docx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.doc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.txt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MIME Validation</w:t>
      </w:r>
      <w:r>
        <w:rPr>
          <w:rFonts w:ascii="Calibri" w:hAnsi="Calibri"/>
          <w:color w:val="1E293B"/>
          <w:sz w:val="24"/>
        </w:rPr>
        <w:t xml:space="preserve">: Checks </w:t>
      </w:r>
      <w:r>
        <w:rPr>
          <w:rFonts w:ascii="Consolas" w:hAnsi="Consolas"/>
          <w:b/>
          <w:color w:val="1E3A8A"/>
          <w:sz w:val="20"/>
        </w:rPr>
        <w:t>UploadFile.content_type</w:t>
      </w:r>
      <w:r>
        <w:rPr>
          <w:rFonts w:ascii="Calibri" w:hAnsi="Calibri"/>
          <w:color w:val="1E293B"/>
          <w:sz w:val="24"/>
        </w:rPr>
        <w:t xml:space="preserve"> against application MIME headers.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Directory Traversal Defense</w:t>
      </w:r>
      <w:r>
        <w:rPr>
          <w:rFonts w:ascii="Calibri" w:hAnsi="Calibri"/>
          <w:color w:val="1E293B"/>
          <w:sz w:val="24"/>
        </w:rPr>
        <w:t xml:space="preserve">: Filenames sanitized using </w:t>
      </w:r>
      <w:r>
        <w:rPr>
          <w:rFonts w:ascii="Consolas" w:hAnsi="Consolas"/>
          <w:b/>
          <w:color w:val="1E3A8A"/>
          <w:sz w:val="20"/>
        </w:rPr>
        <w:t>re.sub(r"[^a-zA-Z0-9._-]", "_", os.path.basename(filename))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Isolated Object Storage</w:t>
      </w:r>
      <w:r>
        <w:rPr>
          <w:rFonts w:ascii="Calibri" w:hAnsi="Calibri"/>
          <w:color w:val="1E293B"/>
          <w:sz w:val="24"/>
        </w:rPr>
        <w:t xml:space="preserve">: Resumes stored under segmented paths: </w:t>
      </w:r>
      <w:r>
        <w:rPr>
          <w:rFonts w:ascii="Consolas" w:hAnsi="Consolas"/>
          <w:b/>
          <w:color w:val="1E3A8A"/>
          <w:sz w:val="20"/>
        </w:rPr>
        <w:t>resumes/original/{candidate_id}/{safe_filename}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3. Error Handling Architecture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SkillAlign implements a standardized, non-leaking exception propagation model: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flowchart TD</w:t>
              <w:br/>
              <w:t xml:space="preserve">    DBErr[Database / Integrity Error] --&gt; SvcLayer[Service Layer Catch]</w:t>
              <w:br/>
              <w:t xml:space="preserve">    SvcLayer --&gt; HTTPEx[Raise fastapi.HTTPException]</w:t>
              <w:br/>
              <w:t xml:space="preserve">    HTTPEx --&gt; GlobalHandler[FastAPI Exception Middleware]</w:t>
              <w:br/>
              <w:t xml:space="preserve">    </w:t>
              <w:br/>
              <w:t xml:space="preserve">    GlobalHandler --&gt; Sanitize{DEBUG == True?}</w:t>
              <w:br/>
              <w:t xml:space="preserve">    Sanitize -- "Yes" --&gt; DevResp[JSONResponse: Detailed Error &amp; Stack]</w:t>
              <w:br/>
              <w:t xml:space="preserve">    Sanitize -- "No" --&gt; ProdResp[JSONResponse: Sanitized Generic Error]</w:t>
              <w:br/>
              <w:t xml:space="preserve">    </w:t>
              <w:br/>
              <w:t xml:space="preserve">    ProdResp -- "HTTP 4xx / 5xx" --&gt; Axios[Frontend Axios Client Interceptor]</w:t>
              <w:br/>
              <w:t xml:space="preserve">    Axios -- "401 Unauthorized" --&gt; EvictToken[Purge LocalStorage &amp; Redirect to /login]</w:t>
              <w:br/>
              <w:t xml:space="preserve">    Axios -- "Other Errors" --&gt; Toast[Trigger User-Facing Error Notification Toast]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4. End-to-End Sequence Diagrams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4.1 Sequence Diagram: User Authentication &amp; JWT Issuance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2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seq_auth_jw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User Authentication &amp; JWT Sequence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181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resume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Resume Ingestion Pipeline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4.2 Sequence Diagram: Resume Upload, Text Extraction &amp; Deterministic Parsing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338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seq_offer_gene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Core Lifecycle Sequence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4.3 Sequence Diagram: Multi-Factor Candidate Matching Execution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338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seq_offer_gene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Core Lifecycle Sequence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4.4 Sequence Diagram: Interview Slot Coordination &amp; Candidate Selection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338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seq_offer_gene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Core Lifecycle Sequence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4.5 Sequence Diagram: Hiring Manager Evaluation &amp; Go/No-Go Decision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338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seq_offer_gene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Core Lifecycle Sequence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4.6 Sequence Diagram: Offer Drafting, Approval, ReportLab PDF &amp; Acceptance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338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seq_offer_gene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Offer Generation Sequence</w:t>
      </w:r>
    </w:p>
    <w:p>
      <w:pPr>
        <w:spacing w:after="100" w:line="340" w:lineRule="exact"/>
      </w:pPr>
      <w:r>
        <w:rPr>
          <w:rFonts w:ascii="Calibri" w:hAnsi="Calibri"/>
          <w:i/>
          <w:color w:val="1E293B"/>
          <w:sz w:val="24"/>
        </w:rPr>
        <w:t>Proceed to [Volume 08: Codebase Structure, Deployment &amp; Engineering Decisions](file:///c:/Users/shiva/OneDrive/Desktop/SkillAlign/docs/08_FRONTEND_AND_BACKEND_CODEBASE_STRUCTURE.md) for codebase organization and architectural decision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t>SkillAlign Enterprise Engineering Documentation  -  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8"/>
      </w:rPr>
      <w:t>SkillAlign Platform  |  Security Architecture, RBAC &amp; Sequence Diagrams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