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Test</w:t>
      </w:r>
      <w:r>
        <w:t xml:space="preserve"> </w:t>
      </w:r>
      <w:r>
        <w:t xml:space="preserve">Strategy:</w:t>
      </w:r>
      <w:r>
        <w:t xml:space="preserve"> </w:t>
      </w:r>
      <w:r>
        <w:t xml:space="preserve">Lumberjack</w:t>
      </w:r>
    </w:p>
    <w:p>
      <w:pPr>
        <w:pStyle w:val="Date"/>
      </w:pPr>
      <w:r>
        <w:t xml:space="preserve">Draft</w:t>
      </w:r>
      <w:r>
        <w:t xml:space="preserve"> </w:t>
      </w:r>
      <w:r>
        <w:t xml:space="preserve">-</w:t>
      </w:r>
      <w:r>
        <w:t xml:space="preserve"> </w:t>
      </w:r>
      <w:r>
        <w:t xml:space="preserve">2</w:t>
      </w:r>
      <w:r>
        <w:t xml:space="preserve"> </w:t>
      </w:r>
      <w:r>
        <w:t xml:space="preserve">July</w:t>
      </w:r>
      <w:r>
        <w:t xml:space="preserve"> </w:t>
      </w: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
    <w:p>
      <w:pPr>
        <w:pStyle w:val="Heading1"/>
      </w:pPr>
      <w:r>
        <w:t xml:space="preserve">1. Introduction</w:t>
      </w:r>
    </w:p>
    <w:bookmarkEnd w:id="20"/>
    <w:bookmarkStart w:id="21" w:name="purpose"/>
    <w:p>
      <w:pPr>
        <w:pStyle w:val="Heading1"/>
      </w:pPr>
      <w:r>
        <w:t xml:space="preserve">1.1 Purpose</w:t>
      </w:r>
    </w:p>
    <w:p>
      <w:pPr>
        <w:pStyle w:val="FirstParagraph"/>
      </w:pPr>
      <w:r>
        <w:t xml:space="preserve">This document defines how Lumberjack is verified: the test framework, the tiers of tests, the seams the design exposes for testing, and a requirement-traceable inventory of test cases. It is modeled on the predecessor Logger’s test project and extends it to cover Lumberjack’s broader behavior.</w:t>
      </w:r>
    </w:p>
    <w:bookmarkEnd w:id="21"/>
    <w:bookmarkStart w:id="22" w:name="scope"/>
    <w:p>
      <w:pPr>
        <w:pStyle w:val="Heading1"/>
      </w:pPr>
      <w:r>
        <w:t xml:space="preserve">1.2 Scope</w:t>
      </w:r>
    </w:p>
    <w:p>
      <w:pPr>
        <w:pStyle w:val="FirstParagraph"/>
      </w:pPr>
      <w:r>
        <w:t xml:space="preserve">Verification of the runtime library against the SRS. Build and packaging scripts are out of scope except that the test suite must run from the project (as Logger’s did). This is a non-regulated project, so the intent is engineering confidence and regression safety, not a formal V&amp;V record; nonetheless tests are traced to requirements so coverage gaps are visible.</w:t>
      </w:r>
    </w:p>
    <w:p>
      <w:r>
        <w:pict>
          <v:rect style="width:0;height:1.5pt" o:hralign="center" o:hrstd="t" o:hr="t"/>
        </w:pict>
      </w:r>
    </w:p>
    <w:bookmarkEnd w:id="22"/>
    <w:bookmarkStart w:id="23" w:name="review-of-the-predecessors-coverage"/>
    <w:p>
      <w:pPr>
        <w:pStyle w:val="Heading1"/>
      </w:pPr>
      <w:r>
        <w:t xml:space="preserve">2. Review of the predecessor’s coverage</w:t>
      </w:r>
    </w:p>
    <w:p>
      <w:pPr>
        <w:pStyle w:val="FirstParagraph"/>
      </w:pPr>
      <w:r>
        <w:t xml:space="preserve">Logger’s tests use Caraya (</w:t>
      </w:r>
      <w:r>
        <w:rPr>
          <w:rStyle w:val="VerbatimChar"/>
        </w:rPr>
        <w:t xml:space="preserve">Assert Equal</w:t>
      </w:r>
      <w:r>
        <w:t xml:space="preserve">,</w:t>
      </w:r>
      <w:r>
        <w:t xml:space="preserve"> </w:t>
      </w:r>
      <w:r>
        <w:rPr>
          <w:rStyle w:val="VerbatimChar"/>
        </w:rPr>
        <w:t xml:space="preserve">Assert Not Error</w:t>
      </w:r>
      <w:r>
        <w:t xml:space="preserve">) with a temporary-folder setup/teardown fixture.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Logger test VI</w:t>
            </w:r>
          </w:p>
        </w:tc>
        <w:tc>
          <w:tcPr/>
          <w:p>
            <w:pPr>
              <w:pStyle w:val="Compact"/>
              <w:jc w:val="left"/>
            </w:pPr>
            <w:r>
              <w:t xml:space="preserve">Exercises</w:t>
            </w:r>
          </w:p>
        </w:tc>
      </w:tr>
      <w:tr>
        <w:tc>
          <w:tcPr/>
          <w:p>
            <w:pPr>
              <w:pStyle w:val="Compact"/>
              <w:jc w:val="left"/>
            </w:pPr>
            <w:r>
              <w:t xml:space="preserve">Create Statement Line with double quotes</w:t>
            </w:r>
          </w:p>
        </w:tc>
        <w:tc>
          <w:tcPr/>
          <w:p>
            <w:pPr>
              <w:pStyle w:val="Compact"/>
              <w:jc w:val="left"/>
            </w:pPr>
            <w:r>
              <w:t xml:space="preserve">CSV line formatting, RFC 4180 quoting of embedded quotes (pure utility)</w:t>
            </w:r>
          </w:p>
        </w:tc>
      </w:tr>
      <w:tr>
        <w:tc>
          <w:tcPr/>
          <w:p>
            <w:pPr>
              <w:pStyle w:val="Compact"/>
              <w:jc w:val="left"/>
            </w:pPr>
            <w:r>
              <w:t xml:space="preserve">Message with Double Quotes</w:t>
            </w:r>
          </w:p>
        </w:tc>
        <w:tc>
          <w:tcPr/>
          <w:p>
            <w:pPr>
              <w:pStyle w:val="Compact"/>
              <w:jc w:val="left"/>
            </w:pPr>
            <w:r>
              <w:t xml:space="preserve">end-to-end</w:t>
            </w:r>
            <w:r>
              <w:t xml:space="preserve"> </w:t>
            </w:r>
            <w:r>
              <w:rPr>
                <w:rStyle w:val="VerbatimChar"/>
              </w:rPr>
              <w:t xml:space="preserve">Info</w:t>
            </w:r>
            <w:r>
              <w:t xml:space="preserve"> </w:t>
            </w:r>
            <w:r>
              <w:t xml:space="preserve">with quotes in the message</w:t>
            </w:r>
          </w:p>
        </w:tc>
      </w:tr>
      <w:tr>
        <w:tc>
          <w:tcPr/>
          <w:p>
            <w:pPr>
              <w:pStyle w:val="Compact"/>
              <w:jc w:val="left"/>
            </w:pPr>
            <w:r>
              <w:t xml:space="preserve">Tab Delimiter</w:t>
            </w:r>
          </w:p>
        </w:tc>
        <w:tc>
          <w:tcPr/>
          <w:p>
            <w:pPr>
              <w:pStyle w:val="Compact"/>
              <w:jc w:val="left"/>
            </w:pPr>
            <w:r>
              <w:t xml:space="preserve">configuring and applying a tab delimiter</w:t>
            </w:r>
          </w:p>
        </w:tc>
      </w:tr>
      <w:tr>
        <w:tc>
          <w:tcPr/>
          <w:p>
            <w:pPr>
              <w:pStyle w:val="Compact"/>
              <w:jc w:val="left"/>
            </w:pPr>
            <w:r>
              <w:t xml:space="preserve">Disable Default File</w:t>
            </w:r>
          </w:p>
        </w:tc>
        <w:tc>
          <w:tcPr/>
          <w:p>
            <w:pPr>
              <w:pStyle w:val="Compact"/>
              <w:jc w:val="left"/>
            </w:pPr>
            <w:r>
              <w:t xml:space="preserve">disable default file + unregister listener; no writes, no error</w:t>
            </w:r>
          </w:p>
        </w:tc>
      </w:tr>
      <w:tr>
        <w:tc>
          <w:tcPr/>
          <w:p>
            <w:pPr>
              <w:pStyle w:val="Compact"/>
              <w:jc w:val="left"/>
            </w:pPr>
            <w:r>
              <w:t xml:space="preserve">Support/Before File Logging</w:t>
            </w:r>
          </w:p>
        </w:tc>
        <w:tc>
          <w:tcPr/>
          <w:p>
            <w:pPr>
              <w:pStyle w:val="Compact"/>
              <w:jc w:val="left"/>
            </w:pPr>
            <w:r>
              <w:t xml:space="preserve">fixture: generate a temporary root folder</w:t>
            </w:r>
          </w:p>
        </w:tc>
      </w:tr>
      <w:tr>
        <w:tc>
          <w:tcPr/>
          <w:p>
            <w:pPr>
              <w:pStyle w:val="Compact"/>
              <w:jc w:val="left"/>
            </w:pPr>
            <w:r>
              <w:t xml:space="preserve">Support/After File Logging</w:t>
            </w:r>
          </w:p>
        </w:tc>
        <w:tc>
          <w:tcPr/>
          <w:p>
            <w:pPr>
              <w:pStyle w:val="Compact"/>
              <w:jc w:val="left"/>
            </w:pPr>
            <w:r>
              <w:t xml:space="preserve">fixture: clear errors</w:t>
            </w:r>
          </w:p>
        </w:tc>
      </w:tr>
      <w:tr>
        <w:tc>
          <w:tcPr/>
          <w:p>
            <w:pPr>
              <w:pStyle w:val="Compact"/>
              <w:jc w:val="left"/>
            </w:pPr>
            <w:r>
              <w:t xml:space="preserve">Toolkit.vi</w:t>
            </w:r>
          </w:p>
        </w:tc>
        <w:tc>
          <w:tcPr/>
          <w:p>
            <w:pPr>
              <w:pStyle w:val="Compact"/>
              <w:jc w:val="left"/>
            </w:pPr>
            <w:r>
              <w:t xml:space="preserve">Caraya suite aggregator</w:t>
            </w:r>
          </w:p>
        </w:tc>
      </w:tr>
    </w:tbl>
    <w:p>
      <w:pPr>
        <w:pStyle w:val="BodyText"/>
      </w:pPr>
      <w:r>
        <w:t xml:space="preserve">Logger’s coverage is narrow and formatting-centric. Untested, even for Logger’s own features: level/threshold filtering, broadcast to multiple listeners,</w:t>
      </w:r>
      <w:r>
        <w:t xml:space="preserve"> </w:t>
      </w:r>
      <w:r>
        <w:rPr>
          <w:rStyle w:val="VerbatimChar"/>
        </w:rPr>
        <w:t xml:space="preserve">Read Listener</w:t>
      </w:r>
      <w:r>
        <w:t xml:space="preserve"> </w:t>
      </w:r>
      <w:r>
        <w:t xml:space="preserve">consumption, file rollover by size, retention/pruning by count, calendar folder tree, ISO 8601 naming, verbosity and Catch Error, and buffer/Maximum Messages behavior.</w:t>
      </w:r>
    </w:p>
    <w:p>
      <w:pPr>
        <w:pStyle w:val="BodyText"/>
      </w:pPr>
      <w:r>
        <w:t xml:space="preserve">Two things are worth carrying forward: Caraya as the framework (continuity, and it is a test-only dependency that ships with nothing, per SRS DEP-1), and the temporary-folder fixture that keeps file tests isolated and repeatable.</w:t>
      </w:r>
    </w:p>
    <w:p>
      <w:r>
        <w:pict>
          <v:rect style="width:0;height:1.5pt" o:hralign="center" o:hrstd="t" o:hr="t"/>
        </w:pict>
      </w:r>
    </w:p>
    <w:bookmarkEnd w:id="23"/>
    <w:bookmarkStart w:id="24" w:name="test-approach"/>
    <w:p>
      <w:pPr>
        <w:pStyle w:val="Heading1"/>
      </w:pPr>
      <w:r>
        <w:t xml:space="preserve">3. Test approach</w:t>
      </w:r>
    </w:p>
    <w:bookmarkEnd w:id="24"/>
    <w:bookmarkStart w:id="25" w:name="framework"/>
    <w:p>
      <w:pPr>
        <w:pStyle w:val="Heading1"/>
      </w:pPr>
      <w:r>
        <w:t xml:space="preserve">3.1 Framework</w:t>
      </w:r>
    </w:p>
    <w:p>
      <w:pPr>
        <w:pStyle w:val="FirstParagraph"/>
      </w:pPr>
      <w:r>
        <w:t xml:space="preserve">Caraya is retained. It matches Logger, and it stays test-only (not a runtime dependency, SRS-LMBR-061, DEP-1). The native LabVIEW Unit Test Framework is a viable alternative if the JKI dependency is to be dropped from the test tier as well; the strategy below is framework-neutral and would port.</w:t>
      </w:r>
    </w:p>
    <w:bookmarkEnd w:id="25"/>
    <w:bookmarkStart w:id="26" w:name="two-tiers"/>
    <w:p>
      <w:pPr>
        <w:pStyle w:val="Heading1"/>
      </w:pPr>
      <w:r>
        <w:t xml:space="preserve">3.2 Two tiers</w:t>
      </w:r>
    </w:p>
    <w:p>
      <w:pPr>
        <w:numPr>
          <w:ilvl w:val="0"/>
          <w:numId w:val="1001"/>
        </w:numPr>
        <w:pStyle w:val="Compact"/>
      </w:pPr>
      <w:r>
        <w:rPr>
          <w:bCs/>
          <w:b/>
        </w:rPr>
        <w:t xml:space="preserve">Unit tier (pure VIs, no actors).</w:t>
      </w:r>
      <w:r>
        <w:t xml:space="preserve"> </w:t>
      </w:r>
      <w:r>
        <w:t xml:space="preserve">Fast, deterministic, no launched actors and no real I/O beyond a temp folder. This tier carries the bulk of coverage because the design pushed decision logic (filtering, formatting, config resolution, path resolution, retention) into pure VIs rather than into actor loops.</w:t>
      </w:r>
    </w:p>
    <w:p>
      <w:pPr>
        <w:numPr>
          <w:ilvl w:val="0"/>
          <w:numId w:val="1001"/>
        </w:numPr>
        <w:pStyle w:val="Compact"/>
      </w:pPr>
      <w:r>
        <w:rPr>
          <w:bCs/>
          <w:b/>
        </w:rPr>
        <w:t xml:space="preserve">Integration tier (launched actors).</w:t>
      </w:r>
      <w:r>
        <w:t xml:space="preserve"> </w:t>
      </w:r>
      <w:r>
        <w:t xml:space="preserve">Launches a Log Manager with a capture appender, drives log calls, and asserts on delivered content. Used only where behavior is genuinely emergent from the actor topology (broadcast, register/unregister, flush-on-shutdown, relay delivery).</w:t>
      </w:r>
    </w:p>
    <w:bookmarkEnd w:id="26"/>
    <w:bookmarkStart w:id="27" w:name="test-seams-the-design-exposes"/>
    <w:p>
      <w:pPr>
        <w:pStyle w:val="Heading1"/>
      </w:pPr>
      <w:r>
        <w:t xml:space="preserve">3.3 Test seams the design exposes</w:t>
      </w:r>
    </w:p>
    <w:p>
      <w:pPr>
        <w:numPr>
          <w:ilvl w:val="0"/>
          <w:numId w:val="1002"/>
        </w:numPr>
        <w:pStyle w:val="Compact"/>
      </w:pPr>
      <w:r>
        <w:rPr>
          <w:bCs/>
          <w:b/>
        </w:rPr>
        <w:t xml:space="preserve">Pure VIs.</w:t>
      </w:r>
      <w:r>
        <w:t xml:space="preserve"> </w:t>
      </w:r>
      <w:r>
        <w:rPr>
          <w:rStyle w:val="VerbatimChar"/>
        </w:rPr>
        <w:t xml:space="preserve">Layout.Format</w:t>
      </w:r>
      <w:r>
        <w:t xml:space="preserve">,</w:t>
      </w:r>
      <w:r>
        <w:t xml:space="preserve"> </w:t>
      </w:r>
      <w:r>
        <w:rPr>
          <w:rStyle w:val="VerbatimChar"/>
        </w:rPr>
        <w:t xml:space="preserve">Filter</w:t>
      </w:r>
      <w:r>
        <w:t xml:space="preserve"> </w:t>
      </w:r>
      <w:r>
        <w:t xml:space="preserve">matching, config resolve/merge/validate, tag defaulting and dot-sanitization, severity rank comparison, ISO 8601 filename building, retention/prune selection, and drop-policy selection are all callable directly with no actor context. The CSV</w:t>
      </w:r>
      <w:r>
        <w:t xml:space="preserve"> </w:t>
      </w:r>
      <w:r>
        <w:rPr>
          <w:rStyle w:val="VerbatimChar"/>
        </w:rPr>
        <w:t xml:space="preserve">Layout.Format</w:t>
      </w:r>
      <w:r>
        <w:t xml:space="preserve"> </w:t>
      </w:r>
      <w:r>
        <w:t xml:space="preserve">test is the direct descendant of Logger’s Create Statement Line test.</w:t>
      </w:r>
    </w:p>
    <w:p>
      <w:pPr>
        <w:numPr>
          <w:ilvl w:val="0"/>
          <w:numId w:val="1002"/>
        </w:numPr>
        <w:pStyle w:val="Compact"/>
      </w:pPr>
      <w:r>
        <w:rPr>
          <w:bCs/>
          <w:b/>
        </w:rPr>
        <w:t xml:space="preserve">Capture probe.</w:t>
      </w:r>
      <w:r>
        <w:t xml:space="preserve"> </w:t>
      </w:r>
      <w:r>
        <w:t xml:space="preserve">The relay appender in queue mode is a ready-made test probe: register it, drive log calls, then Dequeue or Flush its queue and assert exactly what was delivered, in what order, after which filters. A small dedicated Capture Appender test double is an alternative if a purpose-built probe is preferred.</w:t>
      </w:r>
    </w:p>
    <w:p>
      <w:pPr>
        <w:numPr>
          <w:ilvl w:val="0"/>
          <w:numId w:val="1002"/>
        </w:numPr>
        <w:pStyle w:val="Compact"/>
      </w:pPr>
      <w:r>
        <w:rPr>
          <w:bCs/>
          <w:b/>
        </w:rPr>
        <w:t xml:space="preserve">Injectable Layout and Filter.</w:t>
      </w:r>
      <w:r>
        <w:t xml:space="preserve"> </w:t>
      </w:r>
      <w:r>
        <w:t xml:space="preserve">Because both are supplied to an appender at creation, a test can inject a trivial identity layout or a known filter to remove formatting and selection variance from an assertion.</w:t>
      </w:r>
    </w:p>
    <w:bookmarkEnd w:id="27"/>
    <w:bookmarkStart w:id="28" w:name="fixtures"/>
    <w:p>
      <w:pPr>
        <w:pStyle w:val="Heading1"/>
      </w:pPr>
      <w:r>
        <w:t xml:space="preserve">3.4 Fixtures</w:t>
      </w:r>
    </w:p>
    <w:p>
      <w:pPr>
        <w:numPr>
          <w:ilvl w:val="0"/>
          <w:numId w:val="1003"/>
        </w:numPr>
        <w:pStyle w:val="Compact"/>
      </w:pPr>
      <w:r>
        <w:rPr>
          <w:bCs/>
          <w:b/>
        </w:rPr>
        <w:t xml:space="preserve">Temp root fixture</w:t>
      </w:r>
      <w:r>
        <w:t xml:space="preserve"> </w:t>
      </w:r>
      <w:r>
        <w:t xml:space="preserve">(SetUp/TearDown): create a unique temporary root folder before file tests and delete it after, so file appenders never touch shared locations and runs are repeatable. This generalizes Logger’s Before/After File Logging.</w:t>
      </w:r>
    </w:p>
    <w:p>
      <w:pPr>
        <w:numPr>
          <w:ilvl w:val="0"/>
          <w:numId w:val="1003"/>
        </w:numPr>
        <w:pStyle w:val="Compact"/>
      </w:pPr>
      <w:r>
        <w:rPr>
          <w:bCs/>
          <w:b/>
        </w:rPr>
        <w:t xml:space="preserve">Manager fixture:</w:t>
      </w:r>
      <w:r>
        <w:t xml:space="preserve"> </w:t>
      </w:r>
      <w:r>
        <w:t xml:space="preserve">launch a Log Manager with the default file disabled and exactly the appenders a test needs, then shut it down in TearDown, asserting a clean flush.</w:t>
      </w:r>
    </w:p>
    <w:bookmarkEnd w:id="28"/>
    <w:bookmarkStart w:id="29" w:name="determinism-rule"/>
    <w:p>
      <w:pPr>
        <w:pStyle w:val="Heading1"/>
      </w:pPr>
      <w:r>
        <w:t xml:space="preserve">3.5 Determinism rule</w:t>
      </w:r>
    </w:p>
    <w:p>
      <w:pPr>
        <w:pStyle w:val="FirstParagraph"/>
      </w:pPr>
      <w:r>
        <w:t xml:space="preserve">Enqueue-to-delivery latency is explicitly non-deterministic (SRS-LMBR-053). Therefore:</w:t>
      </w:r>
    </w:p>
    <w:p>
      <w:pPr>
        <w:numPr>
          <w:ilvl w:val="0"/>
          <w:numId w:val="1004"/>
        </w:numPr>
        <w:pStyle w:val="Compact"/>
      </w:pPr>
      <w:r>
        <w:t xml:space="preserve">No test asserts on timing, latency, or delivery order across different appenders.</w:t>
      </w:r>
    </w:p>
    <w:p>
      <w:pPr>
        <w:numPr>
          <w:ilvl w:val="0"/>
          <w:numId w:val="1004"/>
        </w:numPr>
        <w:pStyle w:val="Compact"/>
      </w:pPr>
      <w:r>
        <w:t xml:space="preserve">Integration tests drain-then-assert: shut down (or flush) so all queued statements are processed, then assert on the eventual delivered content.</w:t>
      </w:r>
    </w:p>
    <w:p>
      <w:pPr>
        <w:numPr>
          <w:ilvl w:val="0"/>
          <w:numId w:val="1004"/>
        </w:numPr>
        <w:pStyle w:val="Compact"/>
      </w:pPr>
      <w:r>
        <w:t xml:space="preserve">Concurrency and backpressure-under-load are verified by testing the drop-policy selection as a pure VI (deterministic) and asserting the synthetic drop-notice record appears, rather than by racing producer threads.</w:t>
      </w:r>
    </w:p>
    <w:p>
      <w:r>
        <w:pict>
          <v:rect style="width:0;height:1.5pt" o:hralign="center" o:hrstd="t" o:hr="t"/>
        </w:pict>
      </w:r>
    </w:p>
    <w:bookmarkEnd w:id="29"/>
    <w:bookmarkStart w:id="30" w:name="test-inventory"/>
    <w:p>
      <w:pPr>
        <w:pStyle w:val="Heading1"/>
      </w:pPr>
      <w:r>
        <w:t xml:space="preserve">4. Test inventory</w:t>
      </w:r>
    </w:p>
    <w:p>
      <w:pPr>
        <w:pStyle w:val="FirstParagraph"/>
      </w:pPr>
      <w:r>
        <w:t xml:space="preserve">Tier is U (unit) or I (integration). Each case lists the assertion intent and the requirements it covers.</w:t>
      </w:r>
    </w:p>
    <w:bookmarkEnd w:id="30"/>
    <w:bookmarkStart w:id="31" w:name="statement-and-layout"/>
    <w:p>
      <w:pPr>
        <w:pStyle w:val="Heading1"/>
      </w:pPr>
      <w:r>
        <w:t xml:space="preserve">4.1 Statement and layout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CSV column order</w:t>
            </w:r>
          </w:p>
        </w:tc>
        <w:tc>
          <w:tcPr/>
          <w:p>
            <w:pPr>
              <w:pStyle w:val="Compact"/>
              <w:jc w:val="left"/>
            </w:pPr>
            <w:r>
              <w:t xml:space="preserve">fields emit as timestamp, level, source tag, origin VI, message</w:t>
            </w:r>
          </w:p>
        </w:tc>
        <w:tc>
          <w:tcPr/>
          <w:p>
            <w:pPr>
              <w:pStyle w:val="Compact"/>
              <w:jc w:val="left"/>
            </w:pPr>
            <w:r>
              <w:t xml:space="preserve">U</w:t>
            </w:r>
          </w:p>
        </w:tc>
        <w:tc>
          <w:tcPr/>
          <w:p>
            <w:pPr>
              <w:pStyle w:val="Compact"/>
              <w:jc w:val="left"/>
            </w:pPr>
            <w:r>
              <w:t xml:space="preserve">010, 012</w:t>
            </w:r>
          </w:p>
        </w:tc>
      </w:tr>
      <w:tr>
        <w:tc>
          <w:tcPr/>
          <w:p>
            <w:pPr>
              <w:pStyle w:val="Compact"/>
              <w:jc w:val="left"/>
            </w:pPr>
            <w:r>
              <w:t xml:space="preserve">CSV quote escaping</w:t>
            </w:r>
          </w:p>
        </w:tc>
        <w:tc>
          <w:tcPr/>
          <w:p>
            <w:pPr>
              <w:pStyle w:val="Compact"/>
              <w:jc w:val="left"/>
            </w:pPr>
            <w:r>
              <w:t xml:space="preserve">a message with quotes/delimiter/newline is RFC 4180 quoted</w:t>
            </w:r>
          </w:p>
        </w:tc>
        <w:tc>
          <w:tcPr/>
          <w:p>
            <w:pPr>
              <w:pStyle w:val="Compact"/>
              <w:jc w:val="left"/>
            </w:pPr>
            <w:r>
              <w:t xml:space="preserve">U</w:t>
            </w:r>
          </w:p>
        </w:tc>
        <w:tc>
          <w:tcPr/>
          <w:p>
            <w:pPr>
              <w:pStyle w:val="Compact"/>
              <w:jc w:val="left"/>
            </w:pPr>
            <w:r>
              <w:t xml:space="preserve">012</w:t>
            </w:r>
          </w:p>
        </w:tc>
      </w:tr>
      <w:tr>
        <w:tc>
          <w:tcPr/>
          <w:p>
            <w:pPr>
              <w:pStyle w:val="Compact"/>
              <w:jc w:val="left"/>
            </w:pPr>
            <w:r>
              <w:t xml:space="preserve">CSV custom delimiter</w:t>
            </w:r>
          </w:p>
        </w:tc>
        <w:tc>
          <w:tcPr/>
          <w:p>
            <w:pPr>
              <w:pStyle w:val="Compact"/>
              <w:jc w:val="left"/>
            </w:pPr>
            <w:r>
              <w:t xml:space="preserve">tab delimiter applied (Logger parity)</w:t>
            </w:r>
          </w:p>
        </w:tc>
        <w:tc>
          <w:tcPr/>
          <w:p>
            <w:pPr>
              <w:pStyle w:val="Compact"/>
              <w:jc w:val="left"/>
            </w:pPr>
            <w:r>
              <w:t xml:space="preserve">U</w:t>
            </w:r>
          </w:p>
        </w:tc>
        <w:tc>
          <w:tcPr/>
          <w:p>
            <w:pPr>
              <w:pStyle w:val="Compact"/>
              <w:jc w:val="left"/>
            </w:pPr>
            <w:r>
              <w:t xml:space="preserve">012</w:t>
            </w:r>
          </w:p>
        </w:tc>
      </w:tr>
      <w:tr>
        <w:tc>
          <w:tcPr/>
          <w:p>
            <w:pPr>
              <w:pStyle w:val="Compact"/>
              <w:jc w:val="left"/>
            </w:pPr>
            <w:r>
              <w:t xml:space="preserve">ISO 8601 timestamp</w:t>
            </w:r>
          </w:p>
        </w:tc>
        <w:tc>
          <w:tcPr/>
          <w:p>
            <w:pPr>
              <w:pStyle w:val="Compact"/>
              <w:jc w:val="left"/>
            </w:pPr>
            <w:r>
              <w:t xml:space="preserve">timestamp field matches ISO 8601</w:t>
            </w:r>
          </w:p>
        </w:tc>
        <w:tc>
          <w:tcPr/>
          <w:p>
            <w:pPr>
              <w:pStyle w:val="Compact"/>
              <w:jc w:val="left"/>
            </w:pPr>
            <w:r>
              <w:t xml:space="preserve">U</w:t>
            </w:r>
          </w:p>
        </w:tc>
        <w:tc>
          <w:tcPr/>
          <w:p>
            <w:pPr>
              <w:pStyle w:val="Compact"/>
              <w:jc w:val="left"/>
            </w:pPr>
            <w:r>
              <w:t xml:space="preserve">011</w:t>
            </w:r>
          </w:p>
        </w:tc>
      </w:tr>
      <w:tr>
        <w:tc>
          <w:tcPr/>
          <w:p>
            <w:pPr>
              <w:pStyle w:val="Compact"/>
              <w:jc w:val="left"/>
            </w:pPr>
            <w:r>
              <w:t xml:space="preserve">JSON layout</w:t>
            </w:r>
          </w:p>
        </w:tc>
        <w:tc>
          <w:tcPr/>
          <w:p>
            <w:pPr>
              <w:pStyle w:val="Compact"/>
              <w:jc w:val="left"/>
            </w:pPr>
            <w:r>
              <w:t xml:space="preserve">one valid JSON object per statement</w:t>
            </w:r>
          </w:p>
        </w:tc>
        <w:tc>
          <w:tcPr/>
          <w:p>
            <w:pPr>
              <w:pStyle w:val="Compact"/>
              <w:jc w:val="left"/>
            </w:pPr>
            <w:r>
              <w:t xml:space="preserve">U</w:t>
            </w:r>
          </w:p>
        </w:tc>
        <w:tc>
          <w:tcPr/>
          <w:p>
            <w:pPr>
              <w:pStyle w:val="Compact"/>
              <w:jc w:val="left"/>
            </w:pPr>
            <w:r>
              <w:t xml:space="preserve">015</w:t>
            </w:r>
          </w:p>
        </w:tc>
      </w:tr>
      <w:tr>
        <w:tc>
          <w:tcPr/>
          <w:p>
            <w:pPr>
              <w:pStyle w:val="Compact"/>
              <w:jc w:val="left"/>
            </w:pPr>
            <w:r>
              <w:t xml:space="preserve">Statement fields</w:t>
            </w:r>
          </w:p>
        </w:tc>
        <w:tc>
          <w:tcPr/>
          <w:p>
            <w:pPr>
              <w:pStyle w:val="Compact"/>
              <w:jc w:val="left"/>
            </w:pPr>
            <w:r>
              <w:t xml:space="preserve">origin VI and source tag are distinct and both present</w:t>
            </w:r>
          </w:p>
        </w:tc>
        <w:tc>
          <w:tcPr/>
          <w:p>
            <w:pPr>
              <w:pStyle w:val="Compact"/>
              <w:jc w:val="left"/>
            </w:pPr>
            <w:r>
              <w:t xml:space="preserve">U</w:t>
            </w:r>
          </w:p>
        </w:tc>
        <w:tc>
          <w:tcPr/>
          <w:p>
            <w:pPr>
              <w:pStyle w:val="Compact"/>
              <w:jc w:val="left"/>
            </w:pPr>
            <w:r>
              <w:t xml:space="preserve">010, 013</w:t>
            </w:r>
          </w:p>
        </w:tc>
      </w:tr>
    </w:tbl>
    <w:bookmarkEnd w:id="31"/>
    <w:bookmarkStart w:id="32" w:name="severity-and-filtering"/>
    <w:p>
      <w:pPr>
        <w:pStyle w:val="Heading1"/>
      </w:pPr>
      <w:r>
        <w:t xml:space="preserve">4.2 Severity and filtering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Rank compare</w:t>
            </w:r>
          </w:p>
        </w:tc>
        <w:tc>
          <w:tcPr/>
          <w:p>
            <w:pPr>
              <w:pStyle w:val="Compact"/>
              <w:jc w:val="left"/>
            </w:pPr>
            <w:r>
              <w:t xml:space="preserve">rank &lt;= threshold passes, else dropped</w:t>
            </w:r>
          </w:p>
        </w:tc>
        <w:tc>
          <w:tcPr/>
          <w:p>
            <w:pPr>
              <w:pStyle w:val="Compact"/>
              <w:jc w:val="left"/>
            </w:pPr>
            <w:r>
              <w:t xml:space="preserve">U</w:t>
            </w:r>
          </w:p>
        </w:tc>
        <w:tc>
          <w:tcPr/>
          <w:p>
            <w:pPr>
              <w:pStyle w:val="Compact"/>
              <w:jc w:val="left"/>
            </w:pPr>
            <w:r>
              <w:t xml:space="preserve">005, 006</w:t>
            </w:r>
          </w:p>
        </w:tc>
      </w:tr>
      <w:tr>
        <w:tc>
          <w:tcPr/>
          <w:p>
            <w:pPr>
              <w:pStyle w:val="Compact"/>
              <w:jc w:val="left"/>
            </w:pPr>
            <w:r>
              <w:t xml:space="preserve">Threshold 0</w:t>
            </w:r>
          </w:p>
        </w:tc>
        <w:tc>
          <w:tcPr/>
          <w:p>
            <w:pPr>
              <w:pStyle w:val="Compact"/>
              <w:jc w:val="left"/>
            </w:pPr>
            <w:r>
              <w:t xml:space="preserve">disables all logging</w:t>
            </w:r>
          </w:p>
        </w:tc>
        <w:tc>
          <w:tcPr/>
          <w:p>
            <w:pPr>
              <w:pStyle w:val="Compact"/>
              <w:jc w:val="left"/>
            </w:pPr>
            <w:r>
              <w:t xml:space="preserve">U</w:t>
            </w:r>
          </w:p>
        </w:tc>
        <w:tc>
          <w:tcPr/>
          <w:p>
            <w:pPr>
              <w:pStyle w:val="Compact"/>
              <w:jc w:val="left"/>
            </w:pPr>
            <w:r>
              <w:t xml:space="preserve">006</w:t>
            </w:r>
          </w:p>
        </w:tc>
      </w:tr>
      <w:tr>
        <w:tc>
          <w:tcPr/>
          <w:p>
            <w:pPr>
              <w:pStyle w:val="Compact"/>
              <w:jc w:val="left"/>
            </w:pPr>
            <w:r>
              <w:t xml:space="preserve">Threshold 7+</w:t>
            </w:r>
          </w:p>
        </w:tc>
        <w:tc>
          <w:tcPr/>
          <w:p>
            <w:pPr>
              <w:pStyle w:val="Compact"/>
              <w:jc w:val="left"/>
            </w:pPr>
            <w:r>
              <w:t xml:space="preserve">passes all levels</w:t>
            </w:r>
          </w:p>
        </w:tc>
        <w:tc>
          <w:tcPr/>
          <w:p>
            <w:pPr>
              <w:pStyle w:val="Compact"/>
              <w:jc w:val="left"/>
            </w:pPr>
            <w:r>
              <w:t xml:space="preserve">U</w:t>
            </w:r>
          </w:p>
        </w:tc>
        <w:tc>
          <w:tcPr/>
          <w:p>
            <w:pPr>
              <w:pStyle w:val="Compact"/>
              <w:jc w:val="left"/>
            </w:pPr>
            <w:r>
              <w:t xml:space="preserve">006</w:t>
            </w:r>
          </w:p>
        </w:tc>
      </w:tr>
      <w:tr>
        <w:tc>
          <w:tcPr/>
          <w:p>
            <w:pPr>
              <w:pStyle w:val="Compact"/>
              <w:jc w:val="left"/>
            </w:pPr>
            <w:r>
              <w:t xml:space="preserve">Global coarse gate</w:t>
            </w:r>
          </w:p>
        </w:tc>
        <w:tc>
          <w:tcPr/>
          <w:p>
            <w:pPr>
              <w:pStyle w:val="Compact"/>
              <w:jc w:val="left"/>
            </w:pPr>
            <w:r>
              <w:t xml:space="preserve">statement above global threshold is not fanned out</w:t>
            </w:r>
          </w:p>
        </w:tc>
        <w:tc>
          <w:tcPr/>
          <w:p>
            <w:pPr>
              <w:pStyle w:val="Compact"/>
              <w:jc w:val="left"/>
            </w:pPr>
            <w:r>
              <w:t xml:space="preserve">U/I</w:t>
            </w:r>
          </w:p>
        </w:tc>
        <w:tc>
          <w:tcPr/>
          <w:p>
            <w:pPr>
              <w:pStyle w:val="Compact"/>
              <w:jc w:val="left"/>
            </w:pPr>
            <w:r>
              <w:t xml:space="preserve">007, 012</w:t>
            </w:r>
          </w:p>
        </w:tc>
      </w:tr>
      <w:tr>
        <w:tc>
          <w:tcPr/>
          <w:p>
            <w:pPr>
              <w:pStyle w:val="Compact"/>
              <w:jc w:val="left"/>
            </w:pPr>
            <w:r>
              <w:t xml:space="preserve">Per-appender threshold</w:t>
            </w:r>
          </w:p>
        </w:tc>
        <w:tc>
          <w:tcPr/>
          <w:p>
            <w:pPr>
              <w:pStyle w:val="Compact"/>
              <w:jc w:val="left"/>
            </w:pPr>
            <w:r>
              <w:t xml:space="preserve">appender writes only statements passing its own threshold</w:t>
            </w:r>
          </w:p>
        </w:tc>
        <w:tc>
          <w:tcPr/>
          <w:p>
            <w:pPr>
              <w:pStyle w:val="Compact"/>
              <w:jc w:val="left"/>
            </w:pPr>
            <w:r>
              <w:t xml:space="preserve">I</w:t>
            </w:r>
          </w:p>
        </w:tc>
        <w:tc>
          <w:tcPr/>
          <w:p>
            <w:pPr>
              <w:pStyle w:val="Compact"/>
              <w:jc w:val="left"/>
            </w:pPr>
            <w:r>
              <w:t xml:space="preserve">009</w:t>
            </w:r>
          </w:p>
        </w:tc>
      </w:tr>
      <w:tr>
        <w:tc>
          <w:tcPr/>
          <w:p>
            <w:pPr>
              <w:pStyle w:val="Compact"/>
              <w:jc w:val="left"/>
            </w:pPr>
            <w:r>
              <w:t xml:space="preserve">Mirror mode</w:t>
            </w:r>
          </w:p>
        </w:tc>
        <w:tc>
          <w:tcPr/>
          <w:p>
            <w:pPr>
              <w:pStyle w:val="Compact"/>
              <w:jc w:val="left"/>
            </w:pPr>
            <w:r>
              <w:t xml:space="preserve">accepts everything above threshold</w:t>
            </w:r>
          </w:p>
        </w:tc>
        <w:tc>
          <w:tcPr/>
          <w:p>
            <w:pPr>
              <w:pStyle w:val="Compact"/>
              <w:jc w:val="left"/>
            </w:pPr>
            <w:r>
              <w:t xml:space="preserve">U</w:t>
            </w:r>
          </w:p>
        </w:tc>
        <w:tc>
          <w:tcPr/>
          <w:p>
            <w:pPr>
              <w:pStyle w:val="Compact"/>
              <w:jc w:val="left"/>
            </w:pPr>
            <w:r>
              <w:t xml:space="preserve">026</w:t>
            </w:r>
          </w:p>
        </w:tc>
      </w:tr>
      <w:tr>
        <w:tc>
          <w:tcPr/>
          <w:p>
            <w:pPr>
              <w:pStyle w:val="Compact"/>
              <w:jc w:val="left"/>
            </w:pPr>
            <w:r>
              <w:t xml:space="preserve">Routed level range</w:t>
            </w:r>
          </w:p>
        </w:tc>
        <w:tc>
          <w:tcPr/>
          <w:p>
            <w:pPr>
              <w:pStyle w:val="Compact"/>
              <w:jc w:val="left"/>
            </w:pPr>
            <w:r>
              <w:t xml:space="preserve">accepts only within min..max rank</w:t>
            </w:r>
          </w:p>
        </w:tc>
        <w:tc>
          <w:tcPr/>
          <w:p>
            <w:pPr>
              <w:pStyle w:val="Compact"/>
              <w:jc w:val="left"/>
            </w:pPr>
            <w:r>
              <w:t xml:space="preserve">U</w:t>
            </w:r>
          </w:p>
        </w:tc>
        <w:tc>
          <w:tcPr/>
          <w:p>
            <w:pPr>
              <w:pStyle w:val="Compact"/>
              <w:jc w:val="left"/>
            </w:pPr>
            <w:r>
              <w:t xml:space="preserve">026</w:t>
            </w:r>
          </w:p>
        </w:tc>
      </w:tr>
      <w:tr>
        <w:tc>
          <w:tcPr/>
          <w:p>
            <w:pPr>
              <w:pStyle w:val="Compact"/>
              <w:jc w:val="left"/>
            </w:pPr>
            <w:r>
              <w:t xml:space="preserve">Tag prefix match</w:t>
            </w:r>
          </w:p>
        </w:tc>
        <w:tc>
          <w:tcPr/>
          <w:p>
            <w:pPr>
              <w:pStyle w:val="Compact"/>
              <w:jc w:val="left"/>
            </w:pPr>
            <w:r>
              <w:rPr>
                <w:rStyle w:val="VerbatimChar"/>
              </w:rPr>
              <w:t xml:space="preserve">app.db</w:t>
            </w:r>
            <w:r>
              <w:t xml:space="preserve"> </w:t>
            </w:r>
            <w:r>
              <w:t xml:space="preserve">matches</w:t>
            </w:r>
            <w:r>
              <w:t xml:space="preserve"> </w:t>
            </w:r>
            <w:r>
              <w:rPr>
                <w:rStyle w:val="VerbatimChar"/>
              </w:rPr>
              <w:t xml:space="preserve">app.db</w:t>
            </w:r>
            <w:r>
              <w:t xml:space="preserve"> </w:t>
            </w:r>
            <w:r>
              <w:t xml:space="preserve">and</w:t>
            </w:r>
            <w:r>
              <w:t xml:space="preserve"> </w:t>
            </w:r>
            <w:r>
              <w:rPr>
                <w:rStyle w:val="VerbatimChar"/>
              </w:rPr>
              <w:t xml:space="preserve">app.db.query</w:t>
            </w:r>
            <w:r>
              <w:t xml:space="preserve">, not</w:t>
            </w:r>
            <w:r>
              <w:t xml:space="preserve"> </w:t>
            </w:r>
            <w:r>
              <w:rPr>
                <w:rStyle w:val="VerbatimChar"/>
              </w:rPr>
              <w:t xml:space="preserve">app.database</w:t>
            </w:r>
          </w:p>
        </w:tc>
        <w:tc>
          <w:tcPr/>
          <w:p>
            <w:pPr>
              <w:pStyle w:val="Compact"/>
              <w:jc w:val="left"/>
            </w:pPr>
            <w:r>
              <w:t xml:space="preserve">U</w:t>
            </w:r>
          </w:p>
        </w:tc>
        <w:tc>
          <w:tcPr/>
          <w:p>
            <w:pPr>
              <w:pStyle w:val="Compact"/>
              <w:jc w:val="left"/>
            </w:pPr>
            <w:r>
              <w:t xml:space="preserve">027</w:t>
            </w:r>
          </w:p>
        </w:tc>
      </w:tr>
    </w:tbl>
    <w:bookmarkEnd w:id="32"/>
    <w:bookmarkStart w:id="33" w:name="source-tag"/>
    <w:p>
      <w:pPr>
        <w:pStyle w:val="Heading1"/>
      </w:pPr>
      <w:r>
        <w:t xml:space="preserve">4.3 Source tag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Default tag</w:t>
            </w:r>
          </w:p>
        </w:tc>
        <w:tc>
          <w:tcPr/>
          <w:p>
            <w:pPr>
              <w:pStyle w:val="Compact"/>
              <w:jc w:val="left"/>
            </w:pPr>
            <w:r>
              <w:t xml:space="preserve">unset tag defaults to origin VI base name</w:t>
            </w:r>
          </w:p>
        </w:tc>
        <w:tc>
          <w:tcPr/>
          <w:p>
            <w:pPr>
              <w:pStyle w:val="Compact"/>
              <w:jc w:val="left"/>
            </w:pPr>
            <w:r>
              <w:t xml:space="preserve">U</w:t>
            </w:r>
          </w:p>
        </w:tc>
        <w:tc>
          <w:tcPr/>
          <w:p>
            <w:pPr>
              <w:pStyle w:val="Compact"/>
              <w:jc w:val="left"/>
            </w:pPr>
            <w:r>
              <w:t xml:space="preserve">013, 017</w:t>
            </w:r>
          </w:p>
        </w:tc>
      </w:tr>
      <w:tr>
        <w:tc>
          <w:tcPr/>
          <w:p>
            <w:pPr>
              <w:pStyle w:val="Compact"/>
              <w:jc w:val="left"/>
            </w:pPr>
            <w:r>
              <w:t xml:space="preserve">Dot sanitization</w:t>
            </w:r>
          </w:p>
        </w:tc>
        <w:tc>
          <w:tcPr/>
          <w:p>
            <w:pPr>
              <w:pStyle w:val="Compact"/>
              <w:jc w:val="left"/>
            </w:pPr>
            <w:r>
              <w:t xml:space="preserve">dots in a VI-derived default become single-node (no false hierarchy)</w:t>
            </w:r>
          </w:p>
        </w:tc>
        <w:tc>
          <w:tcPr/>
          <w:p>
            <w:pPr>
              <w:pStyle w:val="Compact"/>
              <w:jc w:val="left"/>
            </w:pPr>
            <w:r>
              <w:t xml:space="preserve">U</w:t>
            </w:r>
          </w:p>
        </w:tc>
        <w:tc>
          <w:tcPr/>
          <w:p>
            <w:pPr>
              <w:pStyle w:val="Compact"/>
              <w:jc w:val="left"/>
            </w:pPr>
            <w:r>
              <w:t xml:space="preserve">013</w:t>
            </w:r>
          </w:p>
        </w:tc>
      </w:tr>
      <w:tr>
        <w:tc>
          <w:tcPr/>
          <w:p>
            <w:pPr>
              <w:pStyle w:val="Compact"/>
              <w:jc w:val="left"/>
            </w:pPr>
            <w:r>
              <w:t xml:space="preserve">Explicit tag</w:t>
            </w:r>
          </w:p>
        </w:tc>
        <w:tc>
          <w:tcPr/>
          <w:p>
            <w:pPr>
              <w:pStyle w:val="Compact"/>
              <w:jc w:val="left"/>
            </w:pPr>
            <w:r>
              <w:t xml:space="preserve">supplied tag is used verbatim</w:t>
            </w:r>
          </w:p>
        </w:tc>
        <w:tc>
          <w:tcPr/>
          <w:p>
            <w:pPr>
              <w:pStyle w:val="Compact"/>
              <w:jc w:val="left"/>
            </w:pPr>
            <w:r>
              <w:t xml:space="preserve">U</w:t>
            </w:r>
          </w:p>
        </w:tc>
        <w:tc>
          <w:tcPr/>
          <w:p>
            <w:pPr>
              <w:pStyle w:val="Compact"/>
              <w:jc w:val="left"/>
            </w:pPr>
            <w:r>
              <w:t xml:space="preserve">013</w:t>
            </w:r>
          </w:p>
        </w:tc>
      </w:tr>
    </w:tbl>
    <w:bookmarkEnd w:id="33"/>
    <w:bookmarkStart w:id="34" w:name="configuration"/>
    <w:p>
      <w:pPr>
        <w:pStyle w:val="Heading1"/>
      </w:pPr>
      <w:r>
        <w:t xml:space="preserve">4.4 Configuration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Input baseline</w:t>
            </w:r>
          </w:p>
        </w:tc>
        <w:tc>
          <w:tcPr/>
          <w:p>
            <w:pPr>
              <w:pStyle w:val="Compact"/>
              <w:jc w:val="left"/>
            </w:pPr>
            <w:r>
              <w:t xml:space="preserve">launch inputs produce the effective config with no file</w:t>
            </w:r>
          </w:p>
        </w:tc>
        <w:tc>
          <w:tcPr/>
          <w:p>
            <w:pPr>
              <w:pStyle w:val="Compact"/>
              <w:jc w:val="left"/>
            </w:pPr>
            <w:r>
              <w:t xml:space="preserve">U</w:t>
            </w:r>
          </w:p>
        </w:tc>
        <w:tc>
          <w:tcPr/>
          <w:p>
            <w:pPr>
              <w:pStyle w:val="Compact"/>
              <w:jc w:val="left"/>
            </w:pPr>
            <w:r>
              <w:t xml:space="preserve">044</w:t>
            </w:r>
          </w:p>
        </w:tc>
      </w:tr>
      <w:tr>
        <w:tc>
          <w:tcPr/>
          <w:p>
            <w:pPr>
              <w:pStyle w:val="Compact"/>
              <w:jc w:val="left"/>
            </w:pPr>
            <w:r>
              <w:t xml:space="preserve">JSON per-key merge</w:t>
            </w:r>
          </w:p>
        </w:tc>
        <w:tc>
          <w:tcPr/>
          <w:p>
            <w:pPr>
              <w:pStyle w:val="Compact"/>
              <w:jc w:val="left"/>
            </w:pPr>
            <w:r>
              <w:t xml:space="preserve">file overrides only the keys it sets; absent keys fall back</w:t>
            </w:r>
          </w:p>
        </w:tc>
        <w:tc>
          <w:tcPr/>
          <w:p>
            <w:pPr>
              <w:pStyle w:val="Compact"/>
              <w:jc w:val="left"/>
            </w:pPr>
            <w:r>
              <w:t xml:space="preserve">U</w:t>
            </w:r>
          </w:p>
        </w:tc>
        <w:tc>
          <w:tcPr/>
          <w:p>
            <w:pPr>
              <w:pStyle w:val="Compact"/>
              <w:jc w:val="left"/>
            </w:pPr>
            <w:r>
              <w:t xml:space="preserve">046</w:t>
            </w:r>
          </w:p>
        </w:tc>
      </w:tr>
      <w:tr>
        <w:tc>
          <w:tcPr/>
          <w:p>
            <w:pPr>
              <w:pStyle w:val="Compact"/>
              <w:jc w:val="left"/>
            </w:pPr>
            <w:r>
              <w:t xml:space="preserve">Missing file</w:t>
            </w:r>
          </w:p>
        </w:tc>
        <w:tc>
          <w:tcPr/>
          <w:p>
            <w:pPr>
              <w:pStyle w:val="Compact"/>
              <w:jc w:val="left"/>
            </w:pPr>
            <w:r>
              <w:t xml:space="preserve">defined path, missing file, returns non-fatal warning, continues</w:t>
            </w:r>
          </w:p>
        </w:tc>
        <w:tc>
          <w:tcPr/>
          <w:p>
            <w:pPr>
              <w:pStyle w:val="Compact"/>
              <w:jc w:val="left"/>
            </w:pPr>
            <w:r>
              <w:t xml:space="preserve">U</w:t>
            </w:r>
          </w:p>
        </w:tc>
        <w:tc>
          <w:tcPr/>
          <w:p>
            <w:pPr>
              <w:pStyle w:val="Compact"/>
              <w:jc w:val="left"/>
            </w:pPr>
            <w:r>
              <w:t xml:space="preserve">047</w:t>
            </w:r>
          </w:p>
        </w:tc>
      </w:tr>
      <w:tr>
        <w:tc>
          <w:tcPr/>
          <w:p>
            <w:pPr>
              <w:pStyle w:val="Compact"/>
              <w:jc w:val="left"/>
            </w:pPr>
            <w:r>
              <w:t xml:space="preserve">Invalid file</w:t>
            </w:r>
          </w:p>
        </w:tc>
        <w:tc>
          <w:tcPr/>
          <w:p>
            <w:pPr>
              <w:pStyle w:val="Compact"/>
              <w:jc w:val="left"/>
            </w:pPr>
            <w:r>
              <w:t xml:space="preserve">present but unparseable/invalid fails launch with a descriptive error</w:t>
            </w:r>
          </w:p>
        </w:tc>
        <w:tc>
          <w:tcPr/>
          <w:p>
            <w:pPr>
              <w:pStyle w:val="Compact"/>
              <w:jc w:val="left"/>
            </w:pPr>
            <w:r>
              <w:t xml:space="preserve">U</w:t>
            </w:r>
          </w:p>
        </w:tc>
        <w:tc>
          <w:tcPr/>
          <w:p>
            <w:pPr>
              <w:pStyle w:val="Compact"/>
              <w:jc w:val="left"/>
            </w:pPr>
            <w:r>
              <w:t xml:space="preserve">048</w:t>
            </w:r>
          </w:p>
        </w:tc>
      </w:tr>
      <w:tr>
        <w:tc>
          <w:tcPr/>
          <w:p>
            <w:pPr>
              <w:pStyle w:val="Compact"/>
              <w:jc w:val="left"/>
            </w:pPr>
            <w:r>
              <w:t xml:space="preserve">Field validation</w:t>
            </w:r>
          </w:p>
        </w:tc>
        <w:tc>
          <w:tcPr/>
          <w:p>
            <w:pPr>
              <w:pStyle w:val="Compact"/>
              <w:jc w:val="left"/>
            </w:pPr>
            <w:r>
              <w:t xml:space="preserve">out-of-range threshold, bad enum, negative size each named in the error</w:t>
            </w:r>
          </w:p>
        </w:tc>
        <w:tc>
          <w:tcPr/>
          <w:p>
            <w:pPr>
              <w:pStyle w:val="Compact"/>
              <w:jc w:val="left"/>
            </w:pPr>
            <w:r>
              <w:t xml:space="preserve">U</w:t>
            </w:r>
          </w:p>
        </w:tc>
        <w:tc>
          <w:tcPr/>
          <w:p>
            <w:pPr>
              <w:pStyle w:val="Compact"/>
              <w:jc w:val="left"/>
            </w:pPr>
            <w:r>
              <w:t xml:space="preserve">048</w:t>
            </w:r>
          </w:p>
        </w:tc>
      </w:tr>
      <w:tr>
        <w:tc>
          <w:tcPr/>
          <w:p>
            <w:pPr>
              <w:pStyle w:val="Compact"/>
              <w:jc w:val="left"/>
            </w:pPr>
            <w:r>
              <w:t xml:space="preserve">Resolve once</w:t>
            </w:r>
          </w:p>
        </w:tc>
        <w:tc>
          <w:tcPr/>
          <w:p>
            <w:pPr>
              <w:pStyle w:val="Compact"/>
              <w:jc w:val="left"/>
            </w:pPr>
            <w:r>
              <w:t xml:space="preserve">effective config computed once at launch</w:t>
            </w:r>
          </w:p>
        </w:tc>
        <w:tc>
          <w:tcPr/>
          <w:p>
            <w:pPr>
              <w:pStyle w:val="Compact"/>
              <w:jc w:val="left"/>
            </w:pPr>
            <w:r>
              <w:t xml:space="preserve">U/I</w:t>
            </w:r>
          </w:p>
        </w:tc>
        <w:tc>
          <w:tcPr/>
          <w:p>
            <w:pPr>
              <w:pStyle w:val="Compact"/>
              <w:jc w:val="left"/>
            </w:pPr>
            <w:r>
              <w:t xml:space="preserve">051</w:t>
            </w:r>
          </w:p>
        </w:tc>
      </w:tr>
    </w:tbl>
    <w:bookmarkEnd w:id="34"/>
    <w:bookmarkStart w:id="35" w:name="appenders-and-broadcast"/>
    <w:p>
      <w:pPr>
        <w:pStyle w:val="Heading1"/>
      </w:pPr>
      <w:r>
        <w:t xml:space="preserve">4.5 Appenders and broadcast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Single appender delivery</w:t>
            </w:r>
          </w:p>
        </w:tc>
        <w:tc>
          <w:tcPr/>
          <w:p>
            <w:pPr>
              <w:pStyle w:val="Compact"/>
              <w:jc w:val="left"/>
            </w:pPr>
            <w:r>
              <w:t xml:space="preserve">a statement reaches the one registered appender</w:t>
            </w:r>
          </w:p>
        </w:tc>
        <w:tc>
          <w:tcPr/>
          <w:p>
            <w:pPr>
              <w:pStyle w:val="Compact"/>
              <w:jc w:val="left"/>
            </w:pPr>
            <w:r>
              <w:t xml:space="preserve">I</w:t>
            </w:r>
          </w:p>
        </w:tc>
        <w:tc>
          <w:tcPr/>
          <w:p>
            <w:pPr>
              <w:pStyle w:val="Compact"/>
              <w:jc w:val="left"/>
            </w:pPr>
            <w:r>
              <w:t xml:space="preserve">019</w:t>
            </w:r>
          </w:p>
        </w:tc>
      </w:tr>
      <w:tr>
        <w:tc>
          <w:tcPr/>
          <w:p>
            <w:pPr>
              <w:pStyle w:val="Compact"/>
              <w:jc w:val="left"/>
            </w:pPr>
            <w:r>
              <w:t xml:space="preserve">Multi-appender broadcast</w:t>
            </w:r>
          </w:p>
        </w:tc>
        <w:tc>
          <w:tcPr/>
          <w:p>
            <w:pPr>
              <w:pStyle w:val="Compact"/>
              <w:jc w:val="left"/>
            </w:pPr>
            <w:r>
              <w:t xml:space="preserve">a statement reaches all registered appenders</w:t>
            </w:r>
          </w:p>
        </w:tc>
        <w:tc>
          <w:tcPr/>
          <w:p>
            <w:pPr>
              <w:pStyle w:val="Compact"/>
              <w:jc w:val="left"/>
            </w:pPr>
            <w:r>
              <w:t xml:space="preserve">I</w:t>
            </w:r>
          </w:p>
        </w:tc>
        <w:tc>
          <w:tcPr/>
          <w:p>
            <w:pPr>
              <w:pStyle w:val="Compact"/>
              <w:jc w:val="left"/>
            </w:pPr>
            <w:r>
              <w:t xml:space="preserve">019, 028</w:t>
            </w:r>
          </w:p>
        </w:tc>
      </w:tr>
      <w:tr>
        <w:tc>
          <w:tcPr/>
          <w:p>
            <w:pPr>
              <w:pStyle w:val="Compact"/>
              <w:jc w:val="left"/>
            </w:pPr>
            <w:r>
              <w:t xml:space="preserve">Register at runtime</w:t>
            </w:r>
          </w:p>
        </w:tc>
        <w:tc>
          <w:tcPr/>
          <w:p>
            <w:pPr>
              <w:pStyle w:val="Compact"/>
              <w:jc w:val="left"/>
            </w:pPr>
            <w:r>
              <w:t xml:space="preserve">a newly registered appender begins receiving</w:t>
            </w:r>
          </w:p>
        </w:tc>
        <w:tc>
          <w:tcPr/>
          <w:p>
            <w:pPr>
              <w:pStyle w:val="Compact"/>
              <w:jc w:val="left"/>
            </w:pPr>
            <w:r>
              <w:t xml:space="preserve">I</w:t>
            </w:r>
          </w:p>
        </w:tc>
        <w:tc>
          <w:tcPr/>
          <w:p>
            <w:pPr>
              <w:pStyle w:val="Compact"/>
              <w:jc w:val="left"/>
            </w:pPr>
            <w:r>
              <w:t xml:space="preserve">020, 028</w:t>
            </w:r>
          </w:p>
        </w:tc>
      </w:tr>
      <w:tr>
        <w:tc>
          <w:tcPr/>
          <w:p>
            <w:pPr>
              <w:pStyle w:val="Compact"/>
              <w:jc w:val="left"/>
            </w:pPr>
            <w:r>
              <w:t xml:space="preserve">Unregister at runtime</w:t>
            </w:r>
          </w:p>
        </w:tc>
        <w:tc>
          <w:tcPr/>
          <w:p>
            <w:pPr>
              <w:pStyle w:val="Compact"/>
              <w:jc w:val="left"/>
            </w:pPr>
            <w:r>
              <w:t xml:space="preserve">an unregistered appender stops receiving and flushes</w:t>
            </w:r>
          </w:p>
        </w:tc>
        <w:tc>
          <w:tcPr/>
          <w:p>
            <w:pPr>
              <w:pStyle w:val="Compact"/>
              <w:jc w:val="left"/>
            </w:pPr>
            <w:r>
              <w:t xml:space="preserve">I</w:t>
            </w:r>
          </w:p>
        </w:tc>
        <w:tc>
          <w:tcPr/>
          <w:p>
            <w:pPr>
              <w:pStyle w:val="Compact"/>
              <w:jc w:val="left"/>
            </w:pPr>
            <w:r>
              <w:t xml:space="preserve">020</w:t>
            </w:r>
          </w:p>
        </w:tc>
      </w:tr>
      <w:tr>
        <w:tc>
          <w:tcPr/>
          <w:p>
            <w:pPr>
              <w:pStyle w:val="Compact"/>
              <w:jc w:val="left"/>
            </w:pPr>
            <w:r>
              <w:t xml:space="preserve">Fault isolation</w:t>
            </w:r>
          </w:p>
        </w:tc>
        <w:tc>
          <w:tcPr/>
          <w:p>
            <w:pPr>
              <w:pStyle w:val="Compact"/>
              <w:jc w:val="left"/>
            </w:pPr>
            <w:r>
              <w:t xml:space="preserve">a stopped/faulted appender does not block delivery to others</w:t>
            </w:r>
          </w:p>
        </w:tc>
        <w:tc>
          <w:tcPr/>
          <w:p>
            <w:pPr>
              <w:pStyle w:val="Compact"/>
              <w:jc w:val="left"/>
            </w:pPr>
            <w:r>
              <w:t xml:space="preserve">I</w:t>
            </w:r>
          </w:p>
        </w:tc>
        <w:tc>
          <w:tcPr/>
          <w:p>
            <w:pPr>
              <w:pStyle w:val="Compact"/>
              <w:jc w:val="left"/>
            </w:pPr>
            <w:r>
              <w:t xml:space="preserve">021</w:t>
            </w:r>
          </w:p>
        </w:tc>
      </w:tr>
      <w:tr>
        <w:tc>
          <w:tcPr/>
          <w:p>
            <w:pPr>
              <w:pStyle w:val="Compact"/>
              <w:jc w:val="left"/>
            </w:pPr>
            <w:r>
              <w:t xml:space="preserve">Two files, distinct roots</w:t>
            </w:r>
          </w:p>
        </w:tc>
        <w:tc>
          <w:tcPr/>
          <w:p>
            <w:pPr>
              <w:pStyle w:val="Compact"/>
              <w:jc w:val="left"/>
            </w:pPr>
            <w:r>
              <w:t xml:space="preserve">mirror file and errors-only file receive the correct subsets</w:t>
            </w:r>
          </w:p>
        </w:tc>
        <w:tc>
          <w:tcPr/>
          <w:p>
            <w:pPr>
              <w:pStyle w:val="Compact"/>
              <w:jc w:val="left"/>
            </w:pPr>
            <w:r>
              <w:t xml:space="preserve">I</w:t>
            </w:r>
          </w:p>
        </w:tc>
        <w:tc>
          <w:tcPr/>
          <w:p>
            <w:pPr>
              <w:pStyle w:val="Compact"/>
              <w:jc w:val="left"/>
            </w:pPr>
            <w:r>
              <w:t xml:space="preserve">032, 039, 040</w:t>
            </w:r>
          </w:p>
        </w:tc>
      </w:tr>
    </w:tbl>
    <w:bookmarkEnd w:id="35"/>
    <w:bookmarkStart w:id="36" w:name="file-mechanics"/>
    <w:p>
      <w:pPr>
        <w:pStyle w:val="Heading1"/>
      </w:pPr>
      <w:r>
        <w:t xml:space="preserve">4.6 File mechanics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ISO filename</w:t>
            </w:r>
          </w:p>
        </w:tc>
        <w:tc>
          <w:tcPr/>
          <w:p>
            <w:pPr>
              <w:pStyle w:val="Compact"/>
              <w:jc w:val="left"/>
            </w:pPr>
            <w:r>
              <w:t xml:space="preserve">each file name embeds an ISO 8601 timestamp</w:t>
            </w:r>
          </w:p>
        </w:tc>
        <w:tc>
          <w:tcPr/>
          <w:p>
            <w:pPr>
              <w:pStyle w:val="Compact"/>
              <w:jc w:val="left"/>
            </w:pPr>
            <w:r>
              <w:t xml:space="preserve">U/I</w:t>
            </w:r>
          </w:p>
        </w:tc>
        <w:tc>
          <w:tcPr/>
          <w:p>
            <w:pPr>
              <w:pStyle w:val="Compact"/>
              <w:jc w:val="left"/>
            </w:pPr>
            <w:r>
              <w:t xml:space="preserve">035</w:t>
            </w:r>
          </w:p>
        </w:tc>
      </w:tr>
      <w:tr>
        <w:tc>
          <w:tcPr/>
          <w:p>
            <w:pPr>
              <w:pStyle w:val="Compact"/>
              <w:jc w:val="left"/>
            </w:pPr>
            <w:r>
              <w:t xml:space="preserve">Rollover on size</w:t>
            </w:r>
          </w:p>
        </w:tc>
        <w:tc>
          <w:tcPr/>
          <w:p>
            <w:pPr>
              <w:pStyle w:val="Compact"/>
              <w:jc w:val="left"/>
            </w:pPr>
            <w:r>
              <w:t xml:space="preserve">exceeding max size opens a new file</w:t>
            </w:r>
          </w:p>
        </w:tc>
        <w:tc>
          <w:tcPr/>
          <w:p>
            <w:pPr>
              <w:pStyle w:val="Compact"/>
              <w:jc w:val="left"/>
            </w:pPr>
            <w:r>
              <w:t xml:space="preserve">I</w:t>
            </w:r>
          </w:p>
        </w:tc>
        <w:tc>
          <w:tcPr/>
          <w:p>
            <w:pPr>
              <w:pStyle w:val="Compact"/>
              <w:jc w:val="left"/>
            </w:pPr>
            <w:r>
              <w:t xml:space="preserve">033</w:t>
            </w:r>
          </w:p>
        </w:tc>
      </w:tr>
      <w:tr>
        <w:tc>
          <w:tcPr/>
          <w:p>
            <w:pPr>
              <w:pStyle w:val="Compact"/>
              <w:jc w:val="left"/>
            </w:pPr>
            <w:r>
              <w:t xml:space="preserve">Retention prune</w:t>
            </w:r>
          </w:p>
        </w:tc>
        <w:tc>
          <w:tcPr/>
          <w:p>
            <w:pPr>
              <w:pStyle w:val="Compact"/>
              <w:jc w:val="left"/>
            </w:pPr>
            <w:r>
              <w:t xml:space="preserve">files beyond max count are pruned oldest-first; 0 keeps all</w:t>
            </w:r>
          </w:p>
        </w:tc>
        <w:tc>
          <w:tcPr/>
          <w:p>
            <w:pPr>
              <w:pStyle w:val="Compact"/>
              <w:jc w:val="left"/>
            </w:pPr>
            <w:r>
              <w:t xml:space="preserve">U/I</w:t>
            </w:r>
          </w:p>
        </w:tc>
        <w:tc>
          <w:tcPr/>
          <w:p>
            <w:pPr>
              <w:pStyle w:val="Compact"/>
              <w:jc w:val="left"/>
            </w:pPr>
            <w:r>
              <w:t xml:space="preserve">034</w:t>
            </w:r>
          </w:p>
        </w:tc>
      </w:tr>
      <w:tr>
        <w:tc>
          <w:tcPr/>
          <w:p>
            <w:pPr>
              <w:pStyle w:val="Compact"/>
              <w:jc w:val="left"/>
            </w:pPr>
            <w:r>
              <w:t xml:space="preserve">Calendar tree</w:t>
            </w:r>
          </w:p>
        </w:tc>
        <w:tc>
          <w:tcPr/>
          <w:p>
            <w:pPr>
              <w:pStyle w:val="Compact"/>
              <w:jc w:val="left"/>
            </w:pPr>
            <w:r>
              <w:t xml:space="preserve">files placed in dated sub-folders when enabled</w:t>
            </w:r>
          </w:p>
        </w:tc>
        <w:tc>
          <w:tcPr/>
          <w:p>
            <w:pPr>
              <w:pStyle w:val="Compact"/>
              <w:jc w:val="left"/>
            </w:pPr>
            <w:r>
              <w:t xml:space="preserve">I</w:t>
            </w:r>
          </w:p>
        </w:tc>
        <w:tc>
          <w:tcPr/>
          <w:p>
            <w:pPr>
              <w:pStyle w:val="Compact"/>
              <w:jc w:val="left"/>
            </w:pPr>
            <w:r>
              <w:t xml:space="preserve">036</w:t>
            </w:r>
          </w:p>
        </w:tc>
      </w:tr>
    </w:tbl>
    <w:bookmarkEnd w:id="36"/>
    <w:bookmarkStart w:id="37" w:name="relay-appender"/>
    <w:p>
      <w:pPr>
        <w:pStyle w:val="Heading1"/>
      </w:pPr>
      <w:r>
        <w:t xml:space="preserve">4.7 Relay appender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Message mode</w:t>
            </w:r>
          </w:p>
        </w:tc>
        <w:tc>
          <w:tcPr/>
          <w:p>
            <w:pPr>
              <w:pStyle w:val="Compact"/>
              <w:jc w:val="left"/>
            </w:pPr>
            <w:r>
              <w:t xml:space="preserve">accepted statements arrive at the consumer enqueuer</w:t>
            </w:r>
          </w:p>
        </w:tc>
        <w:tc>
          <w:tcPr/>
          <w:p>
            <w:pPr>
              <w:pStyle w:val="Compact"/>
              <w:jc w:val="left"/>
            </w:pPr>
            <w:r>
              <w:t xml:space="preserve">I</w:t>
            </w:r>
          </w:p>
        </w:tc>
        <w:tc>
          <w:tcPr/>
          <w:p>
            <w:pPr>
              <w:pStyle w:val="Compact"/>
              <w:jc w:val="left"/>
            </w:pPr>
            <w:r>
              <w:t xml:space="preserve">024</w:t>
            </w:r>
          </w:p>
        </w:tc>
      </w:tr>
      <w:tr>
        <w:tc>
          <w:tcPr/>
          <w:p>
            <w:pPr>
              <w:pStyle w:val="Compact"/>
              <w:jc w:val="left"/>
            </w:pPr>
            <w:r>
              <w:t xml:space="preserve">Queue mode</w:t>
            </w:r>
          </w:p>
        </w:tc>
        <w:tc>
          <w:tcPr/>
          <w:p>
            <w:pPr>
              <w:pStyle w:val="Compact"/>
              <w:jc w:val="left"/>
            </w:pPr>
            <w:r>
              <w:t xml:space="preserve">accepted statements are dequeueable from the exposed queue</w:t>
            </w:r>
          </w:p>
        </w:tc>
        <w:tc>
          <w:tcPr/>
          <w:p>
            <w:pPr>
              <w:pStyle w:val="Compact"/>
              <w:jc w:val="left"/>
            </w:pPr>
            <w:r>
              <w:t xml:space="preserve">I</w:t>
            </w:r>
          </w:p>
        </w:tc>
        <w:tc>
          <w:tcPr/>
          <w:p>
            <w:pPr>
              <w:pStyle w:val="Compact"/>
              <w:jc w:val="left"/>
            </w:pPr>
            <w:r>
              <w:t xml:space="preserve">025</w:t>
            </w:r>
          </w:p>
        </w:tc>
      </w:tr>
      <w:tr>
        <w:tc>
          <w:tcPr/>
          <w:p>
            <w:pPr>
              <w:pStyle w:val="Compact"/>
              <w:jc w:val="left"/>
            </w:pPr>
            <w:r>
              <w:t xml:space="preserve">Filtered tap</w:t>
            </w:r>
          </w:p>
        </w:tc>
        <w:tc>
          <w:tcPr/>
          <w:p>
            <w:pPr>
              <w:pStyle w:val="Compact"/>
              <w:jc w:val="left"/>
            </w:pPr>
            <w:r>
              <w:t xml:space="preserve">a routed/threshold relay receives only its subset</w:t>
            </w:r>
          </w:p>
        </w:tc>
        <w:tc>
          <w:tcPr/>
          <w:p>
            <w:pPr>
              <w:pStyle w:val="Compact"/>
              <w:jc w:val="left"/>
            </w:pPr>
            <w:r>
              <w:t xml:space="preserve">I</w:t>
            </w:r>
          </w:p>
        </w:tc>
        <w:tc>
          <w:tcPr/>
          <w:p>
            <w:pPr>
              <w:pStyle w:val="Compact"/>
              <w:jc w:val="left"/>
            </w:pPr>
            <w:r>
              <w:t xml:space="preserve">023, 026</w:t>
            </w:r>
          </w:p>
        </w:tc>
      </w:tr>
    </w:tbl>
    <w:bookmarkEnd w:id="37"/>
    <w:bookmarkStart w:id="38" w:name="backpressure"/>
    <w:p>
      <w:pPr>
        <w:pStyle w:val="Heading1"/>
      </w:pPr>
      <w:r>
        <w:t xml:space="preserve">4.8 Backpressure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Unbounded default</w:t>
            </w:r>
          </w:p>
        </w:tc>
        <w:tc>
          <w:tcPr/>
          <w:p>
            <w:pPr>
              <w:pStyle w:val="Compact"/>
              <w:jc w:val="left"/>
            </w:pPr>
            <w:r>
              <w:t xml:space="preserve">no loss with an unbounded queue</w:t>
            </w:r>
          </w:p>
        </w:tc>
        <w:tc>
          <w:tcPr/>
          <w:p>
            <w:pPr>
              <w:pStyle w:val="Compact"/>
              <w:jc w:val="left"/>
            </w:pPr>
            <w:r>
              <w:t xml:space="preserve">U/I</w:t>
            </w:r>
          </w:p>
        </w:tc>
        <w:tc>
          <w:tcPr/>
          <w:p>
            <w:pPr>
              <w:pStyle w:val="Compact"/>
              <w:jc w:val="left"/>
            </w:pPr>
            <w:r>
              <w:t xml:space="preserve">055</w:t>
            </w:r>
          </w:p>
        </w:tc>
      </w:tr>
      <w:tr>
        <w:tc>
          <w:tcPr/>
          <w:p>
            <w:pPr>
              <w:pStyle w:val="Compact"/>
              <w:jc w:val="left"/>
            </w:pPr>
            <w:r>
              <w:t xml:space="preserve">Drop-oldest</w:t>
            </w:r>
          </w:p>
        </w:tc>
        <w:tc>
          <w:tcPr/>
          <w:p>
            <w:pPr>
              <w:pStyle w:val="Compact"/>
              <w:jc w:val="left"/>
            </w:pPr>
            <w:r>
              <w:t xml:space="preserve">on a full bound, oldest is discarded, newest admitted</w:t>
            </w:r>
          </w:p>
        </w:tc>
        <w:tc>
          <w:tcPr/>
          <w:p>
            <w:pPr>
              <w:pStyle w:val="Compact"/>
              <w:jc w:val="left"/>
            </w:pPr>
            <w:r>
              <w:t xml:space="preserve">U</w:t>
            </w:r>
          </w:p>
        </w:tc>
        <w:tc>
          <w:tcPr/>
          <w:p>
            <w:pPr>
              <w:pStyle w:val="Compact"/>
              <w:jc w:val="left"/>
            </w:pPr>
            <w:r>
              <w:t xml:space="preserve">057</w:t>
            </w:r>
          </w:p>
        </w:tc>
      </w:tr>
      <w:tr>
        <w:tc>
          <w:tcPr/>
          <w:p>
            <w:pPr>
              <w:pStyle w:val="Compact"/>
              <w:jc w:val="left"/>
            </w:pPr>
            <w:r>
              <w:t xml:space="preserve">Drop-newest</w:t>
            </w:r>
          </w:p>
        </w:tc>
        <w:tc>
          <w:tcPr/>
          <w:p>
            <w:pPr>
              <w:pStyle w:val="Compact"/>
              <w:jc w:val="left"/>
            </w:pPr>
            <w:r>
              <w:t xml:space="preserve">on a full bound, newest is discarded</w:t>
            </w:r>
          </w:p>
        </w:tc>
        <w:tc>
          <w:tcPr/>
          <w:p>
            <w:pPr>
              <w:pStyle w:val="Compact"/>
              <w:jc w:val="left"/>
            </w:pPr>
            <w:r>
              <w:t xml:space="preserve">U</w:t>
            </w:r>
          </w:p>
        </w:tc>
        <w:tc>
          <w:tcPr/>
          <w:p>
            <w:pPr>
              <w:pStyle w:val="Compact"/>
              <w:jc w:val="left"/>
            </w:pPr>
            <w:r>
              <w:t xml:space="preserve">057</w:t>
            </w:r>
          </w:p>
        </w:tc>
      </w:tr>
      <w:tr>
        <w:tc>
          <w:tcPr/>
          <w:p>
            <w:pPr>
              <w:pStyle w:val="Compact"/>
              <w:jc w:val="left"/>
            </w:pPr>
            <w:r>
              <w:t xml:space="preserve">Level-aware</w:t>
            </w:r>
          </w:p>
        </w:tc>
        <w:tc>
          <w:tcPr/>
          <w:p>
            <w:pPr>
              <w:pStyle w:val="Compact"/>
              <w:jc w:val="left"/>
            </w:pPr>
            <w:r>
              <w:t xml:space="preserve">ERROR/FATAL never discarded; lower severities shed first</w:t>
            </w:r>
          </w:p>
        </w:tc>
        <w:tc>
          <w:tcPr/>
          <w:p>
            <w:pPr>
              <w:pStyle w:val="Compact"/>
              <w:jc w:val="left"/>
            </w:pPr>
            <w:r>
              <w:t xml:space="preserve">U</w:t>
            </w:r>
          </w:p>
        </w:tc>
        <w:tc>
          <w:tcPr/>
          <w:p>
            <w:pPr>
              <w:pStyle w:val="Compact"/>
              <w:jc w:val="left"/>
            </w:pPr>
            <w:r>
              <w:t xml:space="preserve">057</w:t>
            </w:r>
          </w:p>
        </w:tc>
      </w:tr>
      <w:tr>
        <w:tc>
          <w:tcPr/>
          <w:p>
            <w:pPr>
              <w:pStyle w:val="Compact"/>
              <w:jc w:val="left"/>
            </w:pPr>
            <w:r>
              <w:t xml:space="preserve">No blocking</w:t>
            </w:r>
          </w:p>
        </w:tc>
        <w:tc>
          <w:tcPr/>
          <w:p>
            <w:pPr>
              <w:pStyle w:val="Compact"/>
              <w:jc w:val="left"/>
            </w:pPr>
            <w:r>
              <w:t xml:space="preserve">enqueue path returns without blocking when full</w:t>
            </w:r>
          </w:p>
        </w:tc>
        <w:tc>
          <w:tcPr/>
          <w:p>
            <w:pPr>
              <w:pStyle w:val="Compact"/>
              <w:jc w:val="left"/>
            </w:pPr>
            <w:r>
              <w:t xml:space="preserve">U</w:t>
            </w:r>
          </w:p>
        </w:tc>
        <w:tc>
          <w:tcPr/>
          <w:p>
            <w:pPr>
              <w:pStyle w:val="Compact"/>
              <w:jc w:val="left"/>
            </w:pPr>
            <w:r>
              <w:t xml:space="preserve">058</w:t>
            </w:r>
          </w:p>
        </w:tc>
      </w:tr>
      <w:tr>
        <w:tc>
          <w:tcPr/>
          <w:p>
            <w:pPr>
              <w:pStyle w:val="Compact"/>
              <w:jc w:val="left"/>
            </w:pPr>
            <w:r>
              <w:t xml:space="preserve">Drop notice</w:t>
            </w:r>
          </w:p>
        </w:tc>
        <w:tc>
          <w:tcPr/>
          <w:p>
            <w:pPr>
              <w:pStyle w:val="Compact"/>
              <w:jc w:val="left"/>
            </w:pPr>
            <w:r>
              <w:t xml:space="preserve">discards produce a synthetic</w:t>
            </w:r>
            <w:r>
              <w:t xml:space="preserve"> </w:t>
            </w:r>
            <w:r>
              <w:t xml:space="preserve">“</w:t>
            </w:r>
            <w:r>
              <w:t xml:space="preserve">N statements dropped</w:t>
            </w:r>
            <w:r>
              <w:t xml:space="preserve">”</w:t>
            </w:r>
            <w:r>
              <w:t xml:space="preserve"> </w:t>
            </w:r>
            <w:r>
              <w:t xml:space="preserve">record</w:t>
            </w:r>
          </w:p>
        </w:tc>
        <w:tc>
          <w:tcPr/>
          <w:p>
            <w:pPr>
              <w:pStyle w:val="Compact"/>
              <w:jc w:val="left"/>
            </w:pPr>
            <w:r>
              <w:t xml:space="preserve">U/I</w:t>
            </w:r>
          </w:p>
        </w:tc>
        <w:tc>
          <w:tcPr/>
          <w:p>
            <w:pPr>
              <w:pStyle w:val="Compact"/>
              <w:jc w:val="left"/>
            </w:pPr>
            <w:r>
              <w:t xml:space="preserve">059</w:t>
            </w:r>
          </w:p>
        </w:tc>
      </w:tr>
    </w:tbl>
    <w:bookmarkEnd w:id="38"/>
    <w:bookmarkStart w:id="39" w:name="lifecycle-and-error-handling"/>
    <w:p>
      <w:pPr>
        <w:pStyle w:val="Heading1"/>
      </w:pPr>
      <w:r>
        <w:t xml:space="preserve">4.9 Lifecycle and error handling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Shutdown flush</w:t>
            </w:r>
          </w:p>
        </w:tc>
        <w:tc>
          <w:tcPr/>
          <w:p>
            <w:pPr>
              <w:pStyle w:val="Compact"/>
              <w:jc w:val="left"/>
            </w:pPr>
            <w:r>
              <w:t xml:space="preserve">queued statements are written before stop completes</w:t>
            </w:r>
          </w:p>
        </w:tc>
        <w:tc>
          <w:tcPr/>
          <w:p>
            <w:pPr>
              <w:pStyle w:val="Compact"/>
              <w:jc w:val="left"/>
            </w:pPr>
            <w:r>
              <w:t xml:space="preserve">I</w:t>
            </w:r>
          </w:p>
        </w:tc>
        <w:tc>
          <w:tcPr/>
          <w:p>
            <w:pPr>
              <w:pStyle w:val="Compact"/>
              <w:jc w:val="left"/>
            </w:pPr>
            <w:r>
              <w:t xml:space="preserve">002</w:t>
            </w:r>
          </w:p>
        </w:tc>
      </w:tr>
      <w:tr>
        <w:tc>
          <w:tcPr/>
          <w:p>
            <w:pPr>
              <w:pStyle w:val="Compact"/>
              <w:jc w:val="left"/>
            </w:pPr>
            <w:r>
              <w:t xml:space="preserve">Shutdown on error</w:t>
            </w:r>
          </w:p>
        </w:tc>
        <w:tc>
          <w:tcPr/>
          <w:p>
            <w:pPr>
              <w:pStyle w:val="Compact"/>
              <w:jc w:val="left"/>
            </w:pPr>
            <w:r>
              <w:t xml:space="preserve">shutdown flush/close runs even with an incoming error</w:t>
            </w:r>
          </w:p>
        </w:tc>
        <w:tc>
          <w:tcPr/>
          <w:p>
            <w:pPr>
              <w:pStyle w:val="Compact"/>
              <w:jc w:val="left"/>
            </w:pPr>
            <w:r>
              <w:t xml:space="preserve">I</w:t>
            </w:r>
          </w:p>
        </w:tc>
        <w:tc>
          <w:tcPr/>
          <w:p>
            <w:pPr>
              <w:pStyle w:val="Compact"/>
              <w:jc w:val="left"/>
            </w:pPr>
            <w:r>
              <w:t xml:space="preserve">004</w:t>
            </w:r>
          </w:p>
        </w:tc>
      </w:tr>
      <w:tr>
        <w:tc>
          <w:tcPr/>
          <w:p>
            <w:pPr>
              <w:pStyle w:val="Compact"/>
              <w:jc w:val="left"/>
            </w:pPr>
            <w:r>
              <w:t xml:space="preserve">Catch Error log</w:t>
            </w:r>
          </w:p>
        </w:tc>
        <w:tc>
          <w:tcPr/>
          <w:p>
            <w:pPr>
              <w:pStyle w:val="Compact"/>
              <w:jc w:val="left"/>
            </w:pPr>
            <w:r>
              <w:t xml:space="preserve">a caught error is logged at a derived severity</w:t>
            </w:r>
          </w:p>
        </w:tc>
        <w:tc>
          <w:tcPr/>
          <w:p>
            <w:pPr>
              <w:pStyle w:val="Compact"/>
              <w:jc w:val="left"/>
            </w:pPr>
            <w:r>
              <w:t xml:space="preserve">I</w:t>
            </w:r>
          </w:p>
        </w:tc>
        <w:tc>
          <w:tcPr/>
          <w:p>
            <w:pPr>
              <w:pStyle w:val="Compact"/>
              <w:jc w:val="left"/>
            </w:pPr>
            <w:r>
              <w:t xml:space="preserve">041</w:t>
            </w:r>
          </w:p>
        </w:tc>
      </w:tr>
      <w:tr>
        <w:tc>
          <w:tcPr/>
          <w:p>
            <w:pPr>
              <w:pStyle w:val="Compact"/>
              <w:jc w:val="left"/>
            </w:pPr>
            <w:r>
              <w:t xml:space="preserve">Verbosity gate</w:t>
            </w:r>
          </w:p>
        </w:tc>
        <w:tc>
          <w:tcPr/>
          <w:p>
            <w:pPr>
              <w:pStyle w:val="Compact"/>
              <w:jc w:val="left"/>
            </w:pPr>
            <w:r>
              <w:t xml:space="preserve">dialog shown only at/above configured verbosity</w:t>
            </w:r>
          </w:p>
        </w:tc>
        <w:tc>
          <w:tcPr/>
          <w:p>
            <w:pPr>
              <w:pStyle w:val="Compact"/>
              <w:jc w:val="left"/>
            </w:pPr>
            <w:r>
              <w:t xml:space="preserve">U</w:t>
            </w:r>
          </w:p>
        </w:tc>
        <w:tc>
          <w:tcPr/>
          <w:p>
            <w:pPr>
              <w:pStyle w:val="Compact"/>
              <w:jc w:val="left"/>
            </w:pPr>
            <w:r>
              <w:t xml:space="preserve">042</w:t>
            </w:r>
          </w:p>
        </w:tc>
      </w:tr>
    </w:tbl>
    <w:bookmarkEnd w:id="39"/>
    <w:bookmarkStart w:id="40" w:name="ppl-path-safety"/>
    <w:p>
      <w:pPr>
        <w:pStyle w:val="Heading1"/>
      </w:pPr>
      <w:r>
        <w:t xml:space="preserve">4.10 PPL path safety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Case</w:t>
            </w:r>
          </w:p>
        </w:tc>
        <w:tc>
          <w:tcPr/>
          <w:p>
            <w:pPr>
              <w:pStyle w:val="Compact"/>
              <w:jc w:val="left"/>
            </w:pPr>
            <w:r>
              <w:t xml:space="preserve">Assertion</w:t>
            </w:r>
          </w:p>
        </w:tc>
        <w:tc>
          <w:tcPr/>
          <w:p>
            <w:pPr>
              <w:pStyle w:val="Compact"/>
              <w:jc w:val="left"/>
            </w:pPr>
            <w:r>
              <w:t xml:space="preserve">Tier</w:t>
            </w:r>
          </w:p>
        </w:tc>
        <w:tc>
          <w:tcPr/>
          <w:p>
            <w:pPr>
              <w:pStyle w:val="Compact"/>
              <w:jc w:val="left"/>
            </w:pPr>
            <w:r>
              <w:t xml:space="preserve">SRS</w:t>
            </w:r>
          </w:p>
        </w:tc>
      </w:tr>
      <w:tr>
        <w:tc>
          <w:tcPr/>
          <w:p>
            <w:pPr>
              <w:pStyle w:val="Compact"/>
              <w:jc w:val="left"/>
            </w:pPr>
            <w:r>
              <w:t xml:space="preserve">Explicit root honored</w:t>
            </w:r>
          </w:p>
        </w:tc>
        <w:tc>
          <w:tcPr/>
          <w:p>
            <w:pPr>
              <w:pStyle w:val="Compact"/>
              <w:jc w:val="left"/>
            </w:pPr>
            <w:r>
              <w:t xml:space="preserve">a supplied root folder is used verbatim</w:t>
            </w:r>
          </w:p>
        </w:tc>
        <w:tc>
          <w:tcPr/>
          <w:p>
            <w:pPr>
              <w:pStyle w:val="Compact"/>
              <w:jc w:val="left"/>
            </w:pPr>
            <w:r>
              <w:t xml:space="preserve">U</w:t>
            </w:r>
          </w:p>
        </w:tc>
        <w:tc>
          <w:tcPr/>
          <w:p>
            <w:pPr>
              <w:pStyle w:val="Compact"/>
              <w:jc w:val="left"/>
            </w:pPr>
            <w:r>
              <w:t xml:space="preserve">039, 064</w:t>
            </w:r>
          </w:p>
        </w:tc>
      </w:tr>
      <w:tr>
        <w:tc>
          <w:tcPr/>
          <w:p>
            <w:pPr>
              <w:pStyle w:val="Compact"/>
              <w:jc w:val="left"/>
            </w:pPr>
            <w:r>
              <w:t xml:space="preserve">Host-context default</w:t>
            </w:r>
          </w:p>
        </w:tc>
        <w:tc>
          <w:tcPr/>
          <w:p>
            <w:pPr>
              <w:pStyle w:val="Compact"/>
              <w:jc w:val="left"/>
            </w:pPr>
            <w:r>
              <w:t xml:space="preserve">empty root resolves against host app context, not the library path</w:t>
            </w:r>
          </w:p>
        </w:tc>
        <w:tc>
          <w:tcPr/>
          <w:p>
            <w:pPr>
              <w:pStyle w:val="Compact"/>
              <w:jc w:val="left"/>
            </w:pPr>
            <w:r>
              <w:t xml:space="preserve">U</w:t>
            </w:r>
          </w:p>
        </w:tc>
        <w:tc>
          <w:tcPr/>
          <w:p>
            <w:pPr>
              <w:pStyle w:val="Compact"/>
              <w:jc w:val="left"/>
            </w:pPr>
            <w:r>
              <w:t xml:space="preserve">064</w:t>
            </w:r>
          </w:p>
        </w:tc>
      </w:tr>
      <w:tr>
        <w:tc>
          <w:tcPr/>
          <w:p>
            <w:pPr>
              <w:pStyle w:val="Compact"/>
              <w:jc w:val="left"/>
            </w:pPr>
            <w:r>
              <w:t xml:space="preserve">No self-derived paths</w:t>
            </w:r>
          </w:p>
        </w:tc>
        <w:tc>
          <w:tcPr/>
          <w:p>
            <w:pPr>
              <w:pStyle w:val="Compact"/>
              <w:jc w:val="left"/>
            </w:pPr>
            <w:r>
              <w:t xml:space="preserve">no library VI derives an external path from its own VI path</w:t>
            </w:r>
          </w:p>
        </w:tc>
        <w:tc>
          <w:tcPr/>
          <w:p>
            <w:pPr>
              <w:pStyle w:val="Compact"/>
              <w:jc w:val="left"/>
            </w:pPr>
            <w:r>
              <w:t xml:space="preserve">U (inspection)</w:t>
            </w:r>
          </w:p>
        </w:tc>
        <w:tc>
          <w:tcPr/>
          <w:p>
            <w:pPr>
              <w:pStyle w:val="Compact"/>
              <w:jc w:val="left"/>
            </w:pPr>
            <w:r>
              <w:t xml:space="preserve">064</w:t>
            </w:r>
          </w:p>
        </w:tc>
      </w:tr>
    </w:tbl>
    <w:p>
      <w:r>
        <w:pict>
          <v:rect style="width:0;height:1.5pt" o:hralign="center" o:hrstd="t" o:hr="t"/>
        </w:pict>
      </w:r>
    </w:p>
    <w:bookmarkEnd w:id="40"/>
    <w:bookmarkStart w:id="41" w:name="deliberately-not-unit-tested"/>
    <w:p>
      <w:pPr>
        <w:pStyle w:val="Heading1"/>
      </w:pPr>
      <w:r>
        <w:t xml:space="preserve">5. Deliberately not unit-tested</w:t>
      </w:r>
    </w:p>
    <w:p>
      <w:pPr>
        <w:numPr>
          <w:ilvl w:val="0"/>
          <w:numId w:val="1005"/>
        </w:numPr>
        <w:pStyle w:val="Compact"/>
      </w:pPr>
      <w:r>
        <w:rPr>
          <w:bCs/>
          <w:b/>
        </w:rPr>
        <w:t xml:space="preserve">Timing and latency:</w:t>
      </w:r>
      <w:r>
        <w:t xml:space="preserve"> </w:t>
      </w:r>
      <w:r>
        <w:t xml:space="preserve">excluded by the determinism rule (SRS-LMBR-053).</w:t>
      </w:r>
    </w:p>
    <w:p>
      <w:pPr>
        <w:numPr>
          <w:ilvl w:val="0"/>
          <w:numId w:val="1005"/>
        </w:numPr>
        <w:pStyle w:val="Compact"/>
      </w:pPr>
      <w:r>
        <w:rPr>
          <w:bCs/>
          <w:b/>
        </w:rPr>
        <w:t xml:space="preserve">Cross-appender ordering:</w:t>
      </w:r>
      <w:r>
        <w:t xml:space="preserve"> </w:t>
      </w:r>
      <w:r>
        <w:t xml:space="preserve">not guaranteed once queues drain concurrently (SRS-LMBR-054); tests assert per-appender order only.</w:t>
      </w:r>
    </w:p>
    <w:p>
      <w:pPr>
        <w:numPr>
          <w:ilvl w:val="0"/>
          <w:numId w:val="1005"/>
        </w:numPr>
        <w:pStyle w:val="Compact"/>
      </w:pPr>
      <w:r>
        <w:rPr>
          <w:bCs/>
          <w:b/>
        </w:rPr>
        <w:t xml:space="preserve">True concurrent-overload races:</w:t>
      </w:r>
      <w:r>
        <w:t xml:space="preserve"> </w:t>
      </w:r>
      <w:r>
        <w:t xml:space="preserve">approximated by pure drop-policy tests plus the drop-notice assertion, rather than by nondeterministic thread races.</w:t>
      </w:r>
    </w:p>
    <w:p>
      <w:pPr>
        <w:numPr>
          <w:ilvl w:val="0"/>
          <w:numId w:val="1005"/>
        </w:numPr>
        <w:pStyle w:val="Compact"/>
      </w:pPr>
      <w:r>
        <w:rPr>
          <w:bCs/>
          <w:b/>
        </w:rPr>
        <w:t xml:space="preserve">Real disk-full / permission failures:</w:t>
      </w:r>
      <w:r>
        <w:t xml:space="preserve"> </w:t>
      </w:r>
      <w:r>
        <w:t xml:space="preserve">the config-vs-resource boundary (SRS-LMBR-049) is asserted by construction (invalid resource surfaces as the appender’s launch error), with at most one opt-in test using a deliberately unwritable path.</w:t>
      </w:r>
    </w:p>
    <w:p>
      <w:r>
        <w:pict>
          <v:rect style="width:0;height:1.5pt" o:hralign="center" o:hrstd="t" o:hr="t"/>
        </w:pict>
      </w:r>
    </w:p>
    <w:bookmarkEnd w:id="41"/>
    <w:bookmarkStart w:id="42" w:name="test-organization"/>
    <w:p>
      <w:pPr>
        <w:pStyle w:val="Heading1"/>
      </w:pPr>
      <w:r>
        <w:t xml:space="preserve">6. Test organization</w:t>
      </w:r>
    </w:p>
    <w:p>
      <w:pPr>
        <w:pStyle w:val="FirstParagraph"/>
      </w:pPr>
      <w:r>
        <w:t xml:space="preserve">Mirrors Logger’s layout, expanded:</w:t>
      </w:r>
    </w:p>
    <w:p>
      <w:pPr>
        <w:pStyle w:val="SourceCode"/>
      </w:pPr>
      <w:r>
        <w:rPr>
          <w:rStyle w:val="VerbatimChar"/>
        </w:rPr>
        <w:t xml:space="preserve">tests/</w:t>
      </w:r>
      <w:r>
        <w:br/>
      </w:r>
      <w:r>
        <w:rPr>
          <w:rStyle w:val="VerbatimChar"/>
        </w:rPr>
        <w:t xml:space="preserve">  Tests.lvlib                     Caraya suite membership</w:t>
      </w:r>
      <w:r>
        <w:br/>
      </w:r>
      <w:r>
        <w:rPr>
          <w:rStyle w:val="VerbatimChar"/>
        </w:rPr>
        <w:t xml:space="preserve">  Unit/                           pure-VI tests (no actors)</w:t>
      </w:r>
      <w:r>
        <w:br/>
      </w:r>
      <w:r>
        <w:rPr>
          <w:rStyle w:val="VerbatimChar"/>
        </w:rPr>
        <w:t xml:space="preserve">    Layout - CSV quoting.vi</w:t>
      </w:r>
      <w:r>
        <w:br/>
      </w:r>
      <w:r>
        <w:rPr>
          <w:rStyle w:val="VerbatimChar"/>
        </w:rPr>
        <w:t xml:space="preserve">    Filter - tag prefix.vi</w:t>
      </w:r>
      <w:r>
        <w:br/>
      </w:r>
      <w:r>
        <w:rPr>
          <w:rStyle w:val="VerbatimChar"/>
        </w:rPr>
        <w:t xml:space="preserve">    Config - JSON merge.vi</w:t>
      </w:r>
      <w:r>
        <w:br/>
      </w:r>
      <w:r>
        <w:rPr>
          <w:rStyle w:val="VerbatimChar"/>
        </w:rPr>
        <w:t xml:space="preserve">    ...</w:t>
      </w:r>
      <w:r>
        <w:br/>
      </w:r>
      <w:r>
        <w:rPr>
          <w:rStyle w:val="VerbatimChar"/>
        </w:rPr>
        <w:t xml:space="preserve">  Integration/                    launched-actor tests</w:t>
      </w:r>
      <w:r>
        <w:br/>
      </w:r>
      <w:r>
        <w:rPr>
          <w:rStyle w:val="VerbatimChar"/>
        </w:rPr>
        <w:t xml:space="preserve">    Broadcast - multi appender.vi</w:t>
      </w:r>
      <w:r>
        <w:br/>
      </w:r>
      <w:r>
        <w:rPr>
          <w:rStyle w:val="VerbatimChar"/>
        </w:rPr>
        <w:t xml:space="preserve">    Relay - queue mode.vi</w:t>
      </w:r>
      <w:r>
        <w:br/>
      </w:r>
      <w:r>
        <w:rPr>
          <w:rStyle w:val="VerbatimChar"/>
        </w:rPr>
        <w:t xml:space="preserve">    File - rollover.vi</w:t>
      </w:r>
      <w:r>
        <w:br/>
      </w:r>
      <w:r>
        <w:rPr>
          <w:rStyle w:val="VerbatimChar"/>
        </w:rPr>
        <w:t xml:space="preserve">    ...</w:t>
      </w:r>
      <w:r>
        <w:br/>
      </w:r>
      <w:r>
        <w:rPr>
          <w:rStyle w:val="VerbatimChar"/>
        </w:rPr>
        <w:t xml:space="preserve">  Support/                        fixtures</w:t>
      </w:r>
      <w:r>
        <w:br/>
      </w:r>
      <w:r>
        <w:rPr>
          <w:rStyle w:val="VerbatimChar"/>
        </w:rPr>
        <w:t xml:space="preserve">    SetUp - temp root.vi</w:t>
      </w:r>
      <w:r>
        <w:br/>
      </w:r>
      <w:r>
        <w:rPr>
          <w:rStyle w:val="VerbatimChar"/>
        </w:rPr>
        <w:t xml:space="preserve">    TearDown - delete temp root.vi</w:t>
      </w:r>
      <w:r>
        <w:br/>
      </w:r>
      <w:r>
        <w:rPr>
          <w:rStyle w:val="VerbatimChar"/>
        </w:rPr>
        <w:t xml:space="preserve">    Launch test manager.vi</w:t>
      </w:r>
      <w:r>
        <w:br/>
      </w:r>
      <w:r>
        <w:rPr>
          <w:rStyle w:val="VerbatimChar"/>
        </w:rPr>
        <w:t xml:space="preserve">    Capture appender probe.vi</w:t>
      </w:r>
    </w:p>
    <w:p>
      <w:pPr>
        <w:pStyle w:val="FirstParagraph"/>
      </w:pPr>
      <w:r>
        <w:t xml:space="preserve">A</w:t>
      </w:r>
      <w:r>
        <w:t xml:space="preserve"> </w:t>
      </w:r>
      <w:r>
        <w:rPr>
          <w:rStyle w:val="VerbatimChar"/>
        </w:rPr>
        <w:t xml:space="preserve">Test.vi</w:t>
      </w:r>
      <w:r>
        <w:t xml:space="preserve"> </w:t>
      </w:r>
      <w:r>
        <w:t xml:space="preserve">runner (as in Logger’s Scripts library) executes the full suite. Unit tests run without launching the framework; integration tests use the manager and temp-root fixtures and always tear down with a clean shutdown assertion.</w:t>
      </w:r>
    </w:p>
    <w:p>
      <w:r>
        <w:pict>
          <v:rect style="width:0;height:1.5pt" o:hralign="center" o:hrstd="t" o:hr="t"/>
        </w:pict>
      </w:r>
    </w:p>
    <w:bookmarkEnd w:id="42"/>
    <w:bookmarkStart w:id="43" w:name="coverage-summary"/>
    <w:p>
      <w:pPr>
        <w:pStyle w:val="Heading1"/>
      </w:pPr>
      <w:r>
        <w:t xml:space="preserve">7. Coverage summary</w:t>
      </w:r>
    </w:p>
    <w:p>
      <w:pPr>
        <w:pStyle w:val="FirstParagraph"/>
      </w:pPr>
      <w:r>
        <w:t xml:space="preserve">The strategy touches every requirement group in the SRS. Notably, the majority of behavior lands in the deterministic unit tier because filtering, formatting, configuration, retention, and path resolution were designed as pure VIs. The integration tier is reserved for the genuinely emergent behaviors of the actor topology: broadcast, runtime register/unregister, relay delivery, file rollover, and flush-on-shutdown. This is a substantial expansion over Logger’s formatting-centric suite while keeping the fast, repeatable core that Logger established.</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 w:type="paragraph" w:styleId="TOC1">
    <w:name w:val="toc 1"/>
    <w:basedOn w:val="Normal"/>
    <w:next w:val="Normal"/>
    <w:pPr>
      <w:spacing w:after="0"/>
    </w:pPr>
  </w:style>
  <w:style w:type="paragraph" w:styleId="TOC2">
    <w:name w:val="toc 2"/>
    <w:basedOn w:val="Normal"/>
    <w:next w:val="Normal"/>
    <w:pPr>
      <w:spacing w:after="0"/>
      <w:ind w:left="360"/>
    </w:p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ahom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Strategy: Lumberjack</dc:title>
  <dc:creator/>
  <cp:keywords/>
  <dcterms:created xsi:type="dcterms:W3CDTF">2026-07-03T03:08:16Z</dcterms:created>
  <dcterms:modified xsi:type="dcterms:W3CDTF">2026-07-03T03:08:16Z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- 2 July 2026</vt:lpwstr>
  </property>
</Properties>
</file>