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10080" w:type="dxa"/>
        <w:tblBorders>
          <w:top w:val="nil"/>
          <w:left w:val="nil"/>
          <w:bottom w:val="nil"/>
          <w:right w:val="nil"/>
        </w:tblBorders>
      </w:tblPr>
      <w:tblGrid>
        <w:gridCol w:w="10080"/>
      </w:tblGrid>
      <w:tr>
        <w:trPr>
          <w:trHeight w:val="13200" w:hRule="exact"/>
        </w:trPr>
        <w:tc>
          <w:tcPr>
            <w:tcW w:w="10080" w:type="dxa"/>
            <w:shd w:val="clear" w:color="auto" w:fill="111928"/>
            <w:tcMar>
              <w:top w:w="720" w:type="dxa"/>
              <w:left w:w="720" w:type="dxa"/>
              <w:right w:w="720" w:type="dxa"/>
              <w:bottom w:w="4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FFFFFF"/>
                <w:sz w:val="26"/>
                <w:szCs w:val="26"/>
              </w:rPr>
              <w:t xml:space="preserve">Field</w:t>
            </w:r>
          </w:p>
          <w:p>
            <w:pPr>
              <w:spacing w:before="0" w:after="3600" w:line="276" w:lineRule="auto"/>
            </w:pPr>
            <w:r>
              <w:rPr>
                <w:color w:val="9CA3AF"/>
                <w:sz w:val="18"/>
                <w:szCs w:val="18"/>
              </w:rPr>
              <w:t xml:space="preserve">fieldwealth.ai</w:t>
            </w:r>
          </w:p>
          <w:p>
            <w:pPr>
              <w:spacing w:before="0" w:after="200" w:line="276" w:lineRule="auto"/>
            </w:pPr>
            <w:r>
              <w:rPr>
                <w:b/>
                <w:color w:val="31C48D"/>
                <w:spacing w:val="40"/>
                <w:sz w:val="20"/>
                <w:szCs w:val="20"/>
              </w:rPr>
              <w:t xml:space="preserve">SALESFORCE INTEGRATION</w:t>
            </w:r>
          </w:p>
          <w:p>
            <w:pPr>
              <w:spacing w:before="0" w:after="200" w:line="240" w:lineRule="auto"/>
            </w:pPr>
            <w:r>
              <w:rPr>
                <w:b/>
                <w:color w:val="FFFFFF"/>
                <w:sz w:val="64"/>
                <w:szCs w:val="64"/>
              </w:rPr>
              <w:t xml:space="preserve">Middle-Path Roadmap</w:t>
            </w:r>
          </w:p>
          <w:p>
            <w:pPr>
              <w:spacing w:before="0" w:after="2400" w:line="276" w:lineRule="auto"/>
            </w:pPr>
            <w:r>
              <w:rPr>
                <w:color w:val="D1D5DB"/>
                <w:sz w:val="24"/>
                <w:szCs w:val="24"/>
              </w:rPr>
              <w:t xml:space="preserve">Native FA/Team, Brief and Ask Field inside Salesforce, with the full Field dashboard suite embedded. Packaged for multiple asset manager clients through AppExchange.</w:t>
            </w:r>
          </w:p>
          <w:p>
            <w:pPr>
              <w:spacing w:before="0" w:after="40" w:line="276" w:lineRule="auto"/>
            </w:pPr>
            <w:r>
              <w:rPr>
                <w:b/>
                <w:color w:val="9CA3AF"/>
                <w:spacing w:val="30"/>
                <w:sz w:val="16"/>
                <w:szCs w:val="16"/>
              </w:rPr>
              <w:t xml:space="preserve">DATE</w:t>
            </w:r>
          </w:p>
          <w:p>
            <w:pPr>
              <w:spacing w:before="0" w:after="200" w:line="276" w:lineRule="auto"/>
            </w:pPr>
            <w:r>
              <w:rPr>
                <w:b/>
                <w:color w:val="FFFFFF"/>
                <w:sz w:val="22"/>
                <w:szCs w:val="22"/>
              </w:rPr>
              <w:t xml:space="preserve">October 7, 2026</w:t>
            </w:r>
          </w:p>
          <w:p>
            <w:pPr>
              <w:spacing w:before="0" w:after="40" w:line="276" w:lineRule="auto"/>
            </w:pPr>
            <w:r>
              <w:rPr>
                <w:b/>
                <w:color w:val="9CA3AF"/>
                <w:spacing w:val="30"/>
                <w:sz w:val="16"/>
                <w:szCs w:val="16"/>
              </w:rPr>
              <w:t xml:space="preserve">STATUS</w:t>
            </w:r>
          </w:p>
          <w:p>
            <w:pPr>
              <w:spacing w:before="0" w:after="200" w:line="276" w:lineRule="auto"/>
            </w:pPr>
            <w:r>
              <w:rPr>
                <w:b/>
                <w:color w:val="FFFFFF"/>
                <w:sz w:val="22"/>
                <w:szCs w:val="22"/>
              </w:rPr>
              <w:t xml:space="preserve">Draft for discussion · estimates, not commitments</w:t>
            </w:r>
          </w:p>
          <w:p>
            <w:pPr>
              <w:spacing w:before="0" w:after="40" w:line="276" w:lineRule="auto"/>
            </w:pPr>
            <w:r>
              <w:rPr>
                <w:b/>
                <w:color w:val="9CA3AF"/>
                <w:spacing w:val="30"/>
                <w:sz w:val="16"/>
                <w:szCs w:val="16"/>
              </w:rPr>
              <w:t xml:space="preserve">POWERED BY</w:t>
            </w:r>
          </w:p>
          <w:p>
            <w:pPr>
              <w:spacing w:before="0" w:after="600" w:line="276" w:lineRule="auto"/>
            </w:pPr>
            <w:r>
              <w:rPr>
                <w:b/>
                <w:color w:val="FFFFFF"/>
                <w:sz w:val="22"/>
                <w:szCs w:val="22"/>
              </w:rPr>
              <w:t xml:space="preserve">Field</w:t>
            </w:r>
          </w:p>
          <w:p>
            <w:pPr>
              <w:spacing w:before="0" w:after="0" w:line="276" w:lineRule="auto"/>
            </w:pPr>
            <w:r>
              <w:rPr>
                <w:color w:val="9CA3AF"/>
                <w:sz w:val="16"/>
                <w:szCs w:val="16"/>
              </w:rPr>
              <w:t xml:space="preserve">Confidential · For internal use only.</w:t>
            </w:r>
          </w:p>
        </w:tc>
      </w:tr>
    </w:tbl>
    <w:p>
      <w:pPr>
        <w:pStyle w:val="Heading1"/>
        <w:keepNext/>
        <w:pageBreakBefore/>
        <w:spacing w:before="0" w:after="160" w:line="276" w:lineRule="auto"/>
      </w:pPr>
      <w:r>
        <w:rPr>
          <w:b/>
          <w:color w:val="111928"/>
          <w:sz w:val="36"/>
          <w:szCs w:val="36"/>
        </w:rPr>
        <w:t xml:space="preserve">1. Summary</w:t>
      </w:r>
    </w:p>
    <w:p>
      <w:pPr>
        <w:spacing w:before="0" w:after="140" w:line="276" w:lineRule="auto"/>
      </w:pPr>
      <w:r>
        <w:rPr>
          <w:color w:val="1F2A37"/>
          <w:sz w:val="20"/>
          <w:szCs w:val="20"/>
        </w:rPr>
        <w:t xml:space="preserve">Field will ship a managed Salesforce package that brings three high-use screens into Salesforce natively, on desktop and mobile: the </w:t>
      </w:r>
      <w:r>
        <w:rPr>
          <w:b/>
          <w:color w:val="1F2A37"/>
          <w:sz w:val="20"/>
          <w:szCs w:val="20"/>
        </w:rPr>
        <w:t xml:space="preserve">FA/Team panel</w:t>
      </w:r>
      <w:r>
        <w:rPr>
          <w:color w:val="1F2A37"/>
          <w:sz w:val="20"/>
          <w:szCs w:val="20"/>
        </w:rPr>
        <w:t xml:space="preserve">, the </w:t>
      </w:r>
      <w:r>
        <w:rPr>
          <w:b/>
          <w:color w:val="1F2A37"/>
          <w:sz w:val="20"/>
          <w:szCs w:val="20"/>
        </w:rPr>
        <w:t xml:space="preserve">Brief</w:t>
      </w:r>
      <w:r>
        <w:rPr>
          <w:color w:val="1F2A37"/>
          <w:sz w:val="20"/>
          <w:szCs w:val="20"/>
        </w:rPr>
        <w:t xml:space="preserve"> and </w:t>
      </w:r>
      <w:r>
        <w:rPr>
          <w:b/>
          <w:color w:val="1F2A37"/>
          <w:sz w:val="20"/>
          <w:szCs w:val="20"/>
        </w:rPr>
        <w:t xml:space="preserve">Ask Field</w:t>
      </w:r>
      <w:r>
        <w:rPr>
          <w:color w:val="1F2A37"/>
          <w:sz w:val="20"/>
          <w:szCs w:val="20"/>
        </w:rPr>
        <w:t xml:space="preserve">. The full dashboard suite stays in the Field portal and is embedded in a Field tab with single sign-on. Field remains the system of record; Salesforce holds only CRD references, configuration and optional Tasks.</w:t>
      </w:r>
    </w:p>
    <w:p>
      <w:pPr>
        <w:spacing w:before="0" w:after="140" w:line="276" w:lineRule="auto"/>
      </w:pPr>
      <w:r>
        <w:rPr>
          <w:color w:val="1F2A37"/>
          <w:sz w:val="20"/>
          <w:szCs w:val="20"/>
        </w:rPr>
        <w:t xml:space="preserve">This approach delivers most of the native experience at roughly 60% of the cost of rebuilding the full suite, and lets usage data decide what moves native next.</w:t>
      </w:r>
    </w:p>
    <w:tbl>
      <w:tblPr>
        <w:tblW w:w="10080" w:type="dxa"/>
        <w:tblBorders>
          <w:top w:val="single" w:sz="4" w:color="E5E7EB"/>
          <w:left w:val="single" w:sz="4" w:color="E5E7EB"/>
          <w:bottom w:val="single" w:sz="4" w:color="E5E7EB"/>
          <w:right w:val="single" w:sz="4" w:color="E5E7EB"/>
          <w:insideH w:val="single" w:sz="4" w:color="E5E7EB"/>
          <w:insideV w:val="single" w:sz="4" w:color="E5E7EB"/>
        </w:tblBorders>
        <w:tblLayout w:type="fixed"/>
      </w:tblPr>
      <w:tblGrid>
        <w:gridCol w:w="2621"/>
        <w:gridCol w:w="7459"/>
      </w:tblGrid>
      <w:tr>
        <w:trPr>
          <w:tblHeader/>
          <w:cantSplit/>
        </w:trPr>
        <w:tc>
          <w:tcPr>
            <w:tcW w:w="2621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w="7459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Plan</w:t>
            </w:r>
          </w:p>
        </w:tc>
      </w:tr>
      <w:tr>
        <w:trPr>
          <w:cantSplit/>
        </w:trPr>
        <w:tc>
          <w:tcPr>
            <w:tcW w:w="2621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Approach</w:t>
            </w:r>
          </w:p>
        </w:tc>
        <w:tc>
          <w:tcPr>
            <w:tcW w:w="7459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Native for FA/Team, Brief, Ask Field; full suite embedded</w:t>
            </w:r>
          </w:p>
        </w:tc>
      </w:tr>
      <w:tr>
        <w:trPr>
          <w:cantSplit/>
        </w:trPr>
        <w:tc>
          <w:tcPr>
            <w:tcW w:w="2621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Distribution</w:t>
            </w:r>
          </w:p>
        </w:tc>
        <w:tc>
          <w:tcPr>
            <w:tcW w:w="7459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Managed package on AppExchange for multiple asset manager clients</w:t>
            </w:r>
          </w:p>
        </w:tc>
      </w:tr>
      <w:tr>
        <w:trPr>
          <w:cantSplit/>
        </w:trPr>
        <w:tc>
          <w:tcPr>
            <w:tcW w:w="2621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Primary platform</w:t>
            </w:r>
          </w:p>
        </w:tc>
        <w:tc>
          <w:tcPr>
            <w:tcW w:w="7459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Sales Cloud, plus the Salesforce mobile app</w:t>
            </w:r>
          </w:p>
        </w:tc>
      </w:tr>
      <w:tr>
        <w:trPr>
          <w:cantSplit/>
        </w:trPr>
        <w:tc>
          <w:tcPr>
            <w:tcW w:w="2621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Timeline</w:t>
            </w:r>
          </w:p>
        </w:tc>
        <w:tc>
          <w:tcPr>
            <w:tcW w:w="7459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Embedded suite demo-able at week 10; production pilot at week 24; AppExchange listing around week 32</w:t>
            </w:r>
          </w:p>
        </w:tc>
      </w:tr>
      <w:tr>
        <w:trPr>
          <w:cantSplit/>
        </w:trPr>
        <w:tc>
          <w:tcPr>
            <w:tcW w:w="2621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Build team</w:t>
            </w:r>
          </w:p>
        </w:tc>
        <w:tc>
          <w:tcPr>
            <w:tcW w:w="7459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About 5 FTE equivalent during build</w:t>
            </w:r>
          </w:p>
        </w:tc>
      </w:tr>
      <w:tr>
        <w:trPr>
          <w:cantSplit/>
        </w:trPr>
        <w:tc>
          <w:tcPr>
            <w:tcW w:w="2621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Run cost</w:t>
            </w:r>
          </w:p>
        </w:tc>
        <w:tc>
          <w:tcPr>
            <w:tcW w:w="7459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About 1–1.5 engineers after launch</w:t>
            </w:r>
          </w:p>
        </w:tc>
      </w:tr>
    </w:tbl>
    <w:p>
      <w:pPr>
        <w:spacing w:before="0" w:after="120" w:line="276" w:lineRule="auto"/>
      </w:pPr>
    </w:p>
    <w:p>
      <w:pPr>
        <w:pStyle w:val="Heading2"/>
        <w:keepNext/>
        <w:spacing w:before="280" w:after="100" w:line="276" w:lineRule="auto"/>
      </w:pPr>
      <w:r>
        <w:rPr>
          <w:b/>
          <w:color w:val="0E9F6E"/>
          <w:sz w:val="26"/>
          <w:szCs w:val="26"/>
        </w:rPr>
        <w:t xml:space="preserve">Assumptions</w:t>
      </w:r>
    </w:p>
    <w:p>
      <w:pPr>
        <w:numPr>
          <w:ilvl w:val="0"/>
          <w:numId w:val="2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Asset manager clients share their Salesforce data with Field.</w:t>
      </w:r>
    </w:p>
    <w:p>
      <w:pPr>
        <w:numPr>
          <w:ilvl w:val="0"/>
          <w:numId w:val="2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CRD matching to industry data packs, and team definitions (client teams or FINTRX), are already planned in Field and are not part of this estimate.</w:t>
      </w:r>
    </w:p>
    <w:p>
      <w:pPr>
        <w:numPr>
          <w:ilvl w:val="0"/>
          <w:numId w:val="2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Most clients run Sales Cloud. Financial Services Cloud is supported but not optimized for in phase 1.</w:t>
      </w:r>
    </w:p>
    <w:p>
      <w:pPr>
        <w:numPr>
          <w:ilvl w:val="0"/>
          <w:numId w:val="2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Mobile is a slimmed-down experience limited to the Brief, Ask Field and the FA/Team page.</w:t>
      </w:r>
    </w:p>
    <w:p>
      <w:pPr>
        <w:pStyle w:val="Heading1"/>
        <w:keepNext/>
        <w:pageBreakBefore/>
        <w:spacing w:before="0" w:after="160" w:line="276" w:lineRule="auto"/>
      </w:pPr>
      <w:r>
        <w:rPr>
          <w:b/>
          <w:color w:val="111928"/>
          <w:sz w:val="36"/>
          <w:szCs w:val="36"/>
        </w:rPr>
        <w:t xml:space="preserve">2. Scope</w:t>
      </w:r>
    </w:p>
    <w:tbl>
      <w:tblPr>
        <w:tblW w:w="10080" w:type="dxa"/>
        <w:tblBorders>
          <w:top w:val="single" w:sz="4" w:color="E5E7EB"/>
          <w:left w:val="single" w:sz="4" w:color="E5E7EB"/>
          <w:bottom w:val="single" w:sz="4" w:color="E5E7EB"/>
          <w:right w:val="single" w:sz="4" w:color="E5E7EB"/>
          <w:insideH w:val="single" w:sz="4" w:color="E5E7EB"/>
          <w:insideV w:val="single" w:sz="4" w:color="E5E7EB"/>
        </w:tblBorders>
        <w:tblLayout w:type="fixed"/>
      </w:tblPr>
      <w:tblGrid>
        <w:gridCol w:w="1814"/>
        <w:gridCol w:w="5645"/>
        <w:gridCol w:w="2621"/>
      </w:tblGrid>
      <w:tr>
        <w:trPr>
          <w:tblHeader/>
          <w:cantSplit/>
        </w:trPr>
        <w:tc>
          <w:tcPr>
            <w:tcW w:w="1814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w="5645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In scope</w:t>
            </w:r>
          </w:p>
        </w:tc>
        <w:tc>
          <w:tcPr>
            <w:tcW w:w="2621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Delivery</w:t>
            </w:r>
          </w:p>
        </w:tc>
      </w:tr>
      <w:tr>
        <w:trPr>
          <w:cantSplit/>
        </w:trPr>
        <w:tc>
          <w:tcPr>
            <w:tcW w:w="1814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FA/Team panel</w:t>
            </w:r>
          </w:p>
        </w:tc>
        <w:tc>
          <w:tcPr>
            <w:tcW w:w="5645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Field summary, top signals, recommended action, key metrics, “Open in Field” link on Contact and Account pages</w:t>
            </w:r>
          </w:p>
        </w:tc>
        <w:tc>
          <w:tcPr>
            <w:tcW w:w="2621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Native, desktop and mobile</w:t>
            </w:r>
          </w:p>
        </w:tc>
      </w:tr>
      <w:tr>
        <w:trPr>
          <w:cantSplit/>
        </w:trPr>
        <w:tc>
          <w:tcPr>
            <w:tcW w:w="1814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Brief</w:t>
            </w:r>
          </w:p>
        </w:tc>
        <w:tc>
          <w:tcPr>
            <w:tcW w:w="5645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Role-aware Brief (wholesaler or manager) on the Home page and a mobile page</w:t>
            </w:r>
          </w:p>
        </w:tc>
        <w:tc>
          <w:tcPr>
            <w:tcW w:w="2621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Native, desktop and mobile</w:t>
            </w:r>
          </w:p>
        </w:tc>
      </w:tr>
      <w:tr>
        <w:trPr>
          <w:cantSplit/>
        </w:trPr>
        <w:tc>
          <w:tcPr>
            <w:tcW w:w="1814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Ask Field</w:t>
            </w:r>
          </w:p>
        </w:tc>
        <w:tc>
          <w:tcPr>
            <w:tcW w:w="5645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Chat panel in the utility bar and on record pages; mobile quick action; aware of the FA/Team on screen</w:t>
            </w:r>
          </w:p>
        </w:tc>
        <w:tc>
          <w:tcPr>
            <w:tcW w:w="2621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Native, desktop and mobile</w:t>
            </w:r>
          </w:p>
        </w:tc>
      </w:tr>
      <w:tr>
        <w:trPr>
          <w:cantSplit/>
        </w:trPr>
        <w:tc>
          <w:tcPr>
            <w:tcW w:w="1814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Dashboard suite</w:t>
            </w:r>
          </w:p>
        </w:tc>
        <w:tc>
          <w:tcPr>
            <w:tcW w:w="5645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Territory Analytics, leadership dashboards, Briefs &amp; Reviews, Data Packs and the rest of the portal</w:t>
            </w:r>
          </w:p>
        </w:tc>
        <w:tc>
          <w:tcPr>
            <w:tcW w:w="2621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Embedded Field tab with SSO and deep links</w:t>
            </w:r>
          </w:p>
        </w:tc>
      </w:tr>
      <w:tr>
        <w:trPr>
          <w:cantSplit/>
        </w:trPr>
        <w:tc>
          <w:tcPr>
            <w:tcW w:w="1814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Admin setup</w:t>
            </w:r>
          </w:p>
        </w:tc>
        <w:tc>
          <w:tcPr>
            <w:tcW w:w="5645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CRD field mapping, team source, Task write-back, connection test</w:t>
            </w:r>
          </w:p>
        </w:tc>
        <w:tc>
          <w:tcPr>
            <w:tcW w:w="2621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Native setup page</w:t>
            </w:r>
          </w:p>
        </w:tc>
      </w:tr>
      <w:tr>
        <w:trPr>
          <w:cantSplit/>
        </w:trPr>
        <w:tc>
          <w:tcPr>
            <w:tcW w:w="1814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Write-back</w:t>
            </w:r>
          </w:p>
        </w:tc>
        <w:tc>
          <w:tcPr>
            <w:tcW w:w="5645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Optional Salesforce Tasks created from signals</w:t>
            </w:r>
          </w:p>
        </w:tc>
        <w:tc>
          <w:tcPr>
            <w:tcW w:w="2621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Native, off unless the admin enables it</w:t>
            </w:r>
          </w:p>
        </w:tc>
      </w:tr>
    </w:tbl>
    <w:p>
      <w:pPr>
        <w:spacing w:before="0" w:after="120" w:line="276" w:lineRule="auto"/>
      </w:pPr>
    </w:p>
    <w:p>
      <w:pPr>
        <w:pStyle w:val="Heading2"/>
        <w:keepNext/>
        <w:spacing w:before="280" w:after="100" w:line="276" w:lineRule="auto"/>
      </w:pPr>
      <w:r>
        <w:rPr>
          <w:b/>
          <w:color w:val="0E9F6E"/>
          <w:sz w:val="26"/>
          <w:szCs w:val="26"/>
        </w:rPr>
        <w:t xml:space="preserve">Out of scope</w:t>
      </w:r>
    </w:p>
    <w:p>
      <w:pPr>
        <w:numPr>
          <w:ilvl w:val="0"/>
          <w:numId w:val="3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Native rebuilds of the full dashboard suite.</w:t>
      </w:r>
    </w:p>
    <w:p>
      <w:pPr>
        <w:numPr>
          <w:ilvl w:val="0"/>
          <w:numId w:val="3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Offline mode in the Salesforce mobile app.</w:t>
      </w:r>
    </w:p>
    <w:p>
      <w:pPr>
        <w:numPr>
          <w:ilvl w:val="0"/>
          <w:numId w:val="3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Copying Field data into Salesforce custom objects beyond configuration and Tasks.</w:t>
      </w:r>
    </w:p>
    <w:p>
      <w:pPr>
        <w:numPr>
          <w:ilvl w:val="0"/>
          <w:numId w:val="3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CRD matching and team modeling (covered by existing Field plans).</w:t>
      </w:r>
    </w:p>
    <w:p>
      <w:pPr>
        <w:pStyle w:val="Heading1"/>
        <w:keepNext/>
        <w:pageBreakBefore/>
        <w:spacing w:before="0" w:after="160" w:line="276" w:lineRule="auto"/>
      </w:pPr>
      <w:r>
        <w:rPr>
          <w:b/>
          <w:color w:val="111928"/>
          <w:sz w:val="36"/>
          <w:szCs w:val="36"/>
        </w:rPr>
        <w:t xml:space="preserve">3. Roadmap at a glance</w:t>
      </w:r>
    </w:p>
    <w:tbl>
      <w:tblPr>
        <w:tblW w:w="10080" w:type="dxa"/>
        <w:tblBorders>
          <w:top w:val="single" w:sz="4" w:color="E5E7EB"/>
          <w:left w:val="single" w:sz="4" w:color="E5E7EB"/>
          <w:bottom w:val="single" w:sz="4" w:color="E5E7EB"/>
          <w:right w:val="single" w:sz="4" w:color="E5E7EB"/>
          <w:insideH w:val="single" w:sz="4" w:color="E5E7EB"/>
          <w:insideV w:val="single" w:sz="4" w:color="E5E7EB"/>
        </w:tblBorders>
        <w:tblLayout w:type="fixed"/>
      </w:tblPr>
      <w:tblGrid>
        <w:gridCol w:w="3830"/>
        <w:gridCol w:w="1210"/>
        <w:gridCol w:w="5040"/>
      </w:tblGrid>
      <w:tr>
        <w:trPr>
          <w:tblHeader/>
          <w:cantSplit/>
        </w:trPr>
        <w:tc>
          <w:tcPr>
            <w:tcW w:w="3830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w="1210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w="5040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rPr>
          <w:cantSplit/>
        </w:trPr>
        <w:tc>
          <w:tcPr>
            <w:tcW w:w="383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0 · Setup and architecture</w:t>
            </w:r>
          </w:p>
        </w:tc>
        <w:tc>
          <w:tcPr>
            <w:tcW w:w="121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1–4</w:t>
            </w:r>
          </w:p>
        </w:tc>
        <w:tc>
          <w:tcPr>
            <w:tcW w:w="50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Architecture, service contract and designs signed off</w:t>
            </w:r>
          </w:p>
        </w:tc>
      </w:tr>
      <w:tr>
        <w:trPr>
          <w:cantSplit/>
        </w:trPr>
        <w:tc>
          <w:tcPr>
            <w:tcW w:w="3830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1 · Foundation and embedded suite</w:t>
            </w:r>
          </w:p>
        </w:tc>
        <w:tc>
          <w:tcPr>
            <w:tcW w:w="1210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5–10</w:t>
            </w:r>
          </w:p>
        </w:tc>
        <w:tc>
          <w:tcPr>
            <w:tcW w:w="5040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Package installs; full suite opens in Salesforce with SSO</w:t>
            </w:r>
          </w:p>
        </w:tc>
      </w:tr>
      <w:tr>
        <w:trPr>
          <w:cantSplit/>
        </w:trPr>
        <w:tc>
          <w:tcPr>
            <w:tcW w:w="383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2 · Native FA/Team panel</w:t>
            </w:r>
          </w:p>
        </w:tc>
        <w:tc>
          <w:tcPr>
            <w:tcW w:w="121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9–15</w:t>
            </w:r>
          </w:p>
        </w:tc>
        <w:tc>
          <w:tcPr>
            <w:tcW w:w="50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Same signals in Salesforce as in Field, desktop and phone</w:t>
            </w:r>
          </w:p>
        </w:tc>
      </w:tr>
      <w:tr>
        <w:trPr>
          <w:cantSplit/>
        </w:trPr>
        <w:tc>
          <w:tcPr>
            <w:tcW w:w="3830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3 · Brief and Ask Field</w:t>
            </w:r>
          </w:p>
        </w:tc>
        <w:tc>
          <w:tcPr>
            <w:tcW w:w="1210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13–19</w:t>
            </w:r>
          </w:p>
        </w:tc>
        <w:tc>
          <w:tcPr>
            <w:tcW w:w="5040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All three native screens complete</w:t>
            </w:r>
          </w:p>
        </w:tc>
      </w:tr>
      <w:tr>
        <w:trPr>
          <w:cantSplit/>
        </w:trPr>
        <w:tc>
          <w:tcPr>
            <w:tcW w:w="383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4 · Hardening and pilot</w:t>
            </w:r>
          </w:p>
        </w:tc>
        <w:tc>
          <w:tcPr>
            <w:tcW w:w="121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18–24</w:t>
            </w:r>
          </w:p>
        </w:tc>
        <w:tc>
          <w:tcPr>
            <w:tcW w:w="504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Pilot clients using it daily; security package ready</w:t>
            </w:r>
          </w:p>
        </w:tc>
      </w:tr>
      <w:tr>
        <w:trPr>
          <w:cantSplit/>
        </w:trPr>
        <w:tc>
          <w:tcPr>
            <w:tcW w:w="3830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5 · AppExchange review and launch</w:t>
            </w:r>
          </w:p>
        </w:tc>
        <w:tc>
          <w:tcPr>
            <w:tcW w:w="1210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24–32</w:t>
            </w:r>
          </w:p>
        </w:tc>
        <w:tc>
          <w:tcPr>
            <w:tcW w:w="5040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Listed on AppExchange; repeatable 1–2 day install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120" w:after="80" w:line="276" w:lineRule="auto"/>
      </w:pPr>
      <w:r>
        <w:rPr>
          <w:b/>
          <w:color w:val="6B7280"/>
          <w:sz w:val="18"/>
          <w:szCs w:val="18"/>
        </w:rPr>
        <w:t xml:space="preserve">Timeline by month (about 4 weeks each)</w:t>
      </w:r>
    </w:p>
    <w:tbl>
      <w:tblPr>
        <w:tblW w:w="10080" w:type="dxa"/>
        <w:tblBorders>
          <w:top w:val="single" w:sz="4" w:color="E5E7EB"/>
          <w:left w:val="single" w:sz="4" w:color="E5E7EB"/>
          <w:bottom w:val="single" w:sz="4" w:color="E5E7EB"/>
          <w:right w:val="single" w:sz="4" w:color="E5E7EB"/>
          <w:insideH w:val="single" w:sz="4" w:color="E5E7EB"/>
          <w:insideV w:val="single" w:sz="4" w:color="E5E7EB"/>
        </w:tblBorders>
        <w:tblLayout w:type="fixed"/>
      </w:tblPr>
      <w:tblGrid>
        <w:gridCol w:w="2822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tblHeader/>
          <w:cantSplit/>
        </w:trPr>
        <w:tc>
          <w:tcPr>
            <w:tcW w:w="2822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w="907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w="907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M2</w:t>
            </w:r>
          </w:p>
        </w:tc>
        <w:tc>
          <w:tcPr>
            <w:tcW w:w="907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w="907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w="907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M5</w:t>
            </w:r>
          </w:p>
        </w:tc>
        <w:tc>
          <w:tcPr>
            <w:tcW w:w="907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M6</w:t>
            </w:r>
          </w:p>
        </w:tc>
        <w:tc>
          <w:tcPr>
            <w:tcW w:w="907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M7</w:t>
            </w:r>
          </w:p>
        </w:tc>
        <w:tc>
          <w:tcPr>
            <w:tcW w:w="907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M8</w:t>
            </w:r>
          </w:p>
        </w:tc>
      </w:tr>
      <w:tr>
        <w:trPr>
          <w:cantSplit/>
        </w:trPr>
        <w:tc>
          <w:tcPr>
            <w:tcW w:w="2822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0 · Setup</w:t>
            </w:r>
          </w:p>
        </w:tc>
        <w:tc>
          <w:tcPr>
            <w:tcW w:w="907" w:type="dxa"/>
            <w:shd w:val="clear" w:color="auto" w:fill="0E9F6E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rPr>
          <w:cantSplit/>
        </w:trPr>
        <w:tc>
          <w:tcPr>
            <w:tcW w:w="2822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1 · Foundation</w:t>
            </w:r>
          </w:p>
        </w:tc>
        <w:tc>
          <w:tcPr>
            <w:tcW w:w="907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shd w:val="clear" w:color="auto" w:fill="0E9F6E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shd w:val="clear" w:color="auto" w:fill="0E9F6E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rPr>
          <w:cantSplit/>
        </w:trPr>
        <w:tc>
          <w:tcPr>
            <w:tcW w:w="2822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2 · FA/Team panel</w:t>
            </w:r>
          </w:p>
        </w:tc>
        <w:tc>
          <w:tcPr>
            <w:tcW w:w="907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shd w:val="clear" w:color="auto" w:fill="0E9F6E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shd w:val="clear" w:color="auto" w:fill="0E9F6E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rPr>
          <w:cantSplit/>
        </w:trPr>
        <w:tc>
          <w:tcPr>
            <w:tcW w:w="2822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3 · Brief + Ask Field</w:t>
            </w:r>
          </w:p>
        </w:tc>
        <w:tc>
          <w:tcPr>
            <w:tcW w:w="907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shd w:val="clear" w:color="auto" w:fill="0E9F6E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shd w:val="clear" w:color="auto" w:fill="0E9F6E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rPr>
          <w:cantSplit/>
        </w:trPr>
        <w:tc>
          <w:tcPr>
            <w:tcW w:w="2822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4 · Hardening + pilot</w:t>
            </w:r>
          </w:p>
        </w:tc>
        <w:tc>
          <w:tcPr>
            <w:tcW w:w="907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shd w:val="clear" w:color="auto" w:fill="0E9F6E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shd w:val="clear" w:color="auto" w:fill="0E9F6E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rPr>
          <w:cantSplit/>
        </w:trPr>
        <w:tc>
          <w:tcPr>
            <w:tcW w:w="2822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5 · Review + launch</w:t>
            </w:r>
          </w:p>
        </w:tc>
        <w:tc>
          <w:tcPr>
            <w:tcW w:w="907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shd w:val="clear" w:color="auto" w:fill="0E9F6E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shd w:val="clear" w:color="auto" w:fill="0E9F6E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907" w:type="dxa"/>
            <w:shd w:val="clear" w:color="auto" w:fill="0E9F6E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</w:tbl>
    <w:p>
      <w:pPr>
        <w:spacing w:before="0" w:after="120" w:line="276" w:lineRule="auto"/>
      </w:pPr>
    </w:p>
    <w:p>
      <w:pPr>
        <w:pStyle w:val="Heading1"/>
        <w:keepNext/>
        <w:pageBreakBefore/>
        <w:spacing w:before="0" w:after="160" w:line="276" w:lineRule="auto"/>
      </w:pPr>
      <w:r>
        <w:rPr>
          <w:b/>
          <w:color w:val="111928"/>
          <w:sz w:val="36"/>
          <w:szCs w:val="36"/>
        </w:rPr>
        <w:t xml:space="preserve">4. Phase detail</w:t>
      </w:r>
    </w:p>
    <w:p>
      <w:pPr>
        <w:pStyle w:val="Heading2"/>
        <w:keepNext/>
        <w:spacing w:before="280" w:after="100" w:line="276" w:lineRule="auto"/>
      </w:pPr>
      <w:r>
        <w:rPr>
          <w:b/>
          <w:color w:val="0E9F6E"/>
          <w:sz w:val="26"/>
          <w:szCs w:val="26"/>
        </w:rPr>
        <w:t xml:space="preserve">Phase 0 · Setup and architecture</w:t>
      </w:r>
    </w:p>
    <w:p>
      <w:pPr>
        <w:keepNext/>
        <w:spacing w:before="0" w:after="100" w:line="276" w:lineRule="auto"/>
      </w:pPr>
      <w:r>
        <w:rPr>
          <w:b/>
          <w:color w:val="6B7280"/>
          <w:sz w:val="18"/>
          <w:szCs w:val="18"/>
        </w:rPr>
        <w:t xml:space="preserve">Weeks 1–4</w:t>
      </w:r>
    </w:p>
    <w:p>
      <w:pPr>
        <w:numPr>
          <w:ilvl w:val="0"/>
          <w:numId w:val="4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Join the Salesforce partner program; register the package namespace and developer orgs.</w:t>
      </w:r>
    </w:p>
    <w:p>
      <w:pPr>
        <w:numPr>
          <w:ilvl w:val="0"/>
          <w:numId w:val="4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Sign-in for the embedded tab: single sign-on into the portal, with Salesforce as the identity provider or each client’s existing SSO.</w:t>
      </w:r>
    </w:p>
    <w:p>
      <w:pPr>
        <w:numPr>
          <w:ilvl w:val="0"/>
          <w:numId w:val="4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Sign-in for native screens: an OAuth connection from each client’s Salesforce org to Field, with Salesforce users linked to Field users by email or SSO ID.</w:t>
      </w:r>
    </w:p>
    <w:p>
      <w:pPr>
        <w:numPr>
          <w:ilvl w:val="0"/>
          <w:numId w:val="4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Define the service contract Field exposes: Brief, FA/Team summary, signals, Ask Field, setup and health check.</w:t>
      </w:r>
    </w:p>
    <w:p>
      <w:pPr>
        <w:numPr>
          <w:ilvl w:val="0"/>
          <w:numId w:val="4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Set data rules: Field is the system of record; Salesforce stores CRD references, configuration and optional Tasks only.</w:t>
      </w:r>
    </w:p>
    <w:p>
      <w:pPr>
        <w:numPr>
          <w:ilvl w:val="0"/>
          <w:numId w:val="4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Design compact desktop and mobile layouts for the three native screens.</w:t>
      </w:r>
    </w:p>
    <w:tbl>
      <w:tblPr>
        <w:tblW w:w="10080" w:type="dxa"/>
        <w:tblBorders>
          <w:top w:val="nil"/>
          <w:bottom w:val="nil"/>
          <w:right w:val="nil"/>
          <w:left w:val="single" w:sz="24" w:color="0E9F6E"/>
        </w:tblBorders>
      </w:tblPr>
      <w:tblGrid>
        <w:gridCol w:w="10080"/>
      </w:tblGrid>
      <w:tr>
        <w:trPr>
          <w:cantSplit/>
        </w:trPr>
        <w:tc>
          <w:tcPr>
            <w:tcW w:w="10080" w:type="dxa"/>
            <w:shd w:val="clear" w:color="auto" w:fill="F3FAF7"/>
            <w:tcMar>
              <w:top w:w="120" w:type="dxa"/>
              <w:bottom w:w="120" w:type="dxa"/>
              <w:left w:w="20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57A55"/>
                <w:spacing w:val="20"/>
                <w:sz w:val="16"/>
                <w:szCs w:val="16"/>
              </w:rPr>
              <w:t xml:space="preserve">DONE WHEN</w:t>
            </w:r>
            <w:r>
              <w:rPr>
                <w:color w:val="1F2A37"/>
                <w:sz w:val="20"/>
                <w:szCs w:val="20"/>
              </w:rPr>
              <w:t xml:space="preserve">  </w:t>
            </w:r>
            <w:r>
              <w:rPr>
                <w:color w:val="1F2A37"/>
                <w:sz w:val="19"/>
                <w:szCs w:val="19"/>
              </w:rPr>
              <w:t xml:space="preserve">Architecture signed off, service contract agreed, designs approved.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keepNext/>
        <w:spacing w:before="280" w:after="100" w:line="276" w:lineRule="auto"/>
      </w:pPr>
      <w:r>
        <w:rPr>
          <w:b/>
          <w:color w:val="0E9F6E"/>
          <w:sz w:val="26"/>
          <w:szCs w:val="26"/>
        </w:rPr>
        <w:t xml:space="preserve">Phase 1 · Foundation and embedded suite</w:t>
      </w:r>
    </w:p>
    <w:p>
      <w:pPr>
        <w:keepNext/>
        <w:spacing w:before="0" w:after="100" w:line="276" w:lineRule="auto"/>
      </w:pPr>
      <w:r>
        <w:rPr>
          <w:b/>
          <w:color w:val="6B7280"/>
          <w:sz w:val="18"/>
          <w:szCs w:val="18"/>
        </w:rPr>
        <w:t xml:space="preserve">Weeks 5–10</w:t>
      </w:r>
    </w:p>
    <w:p>
      <w:pPr>
        <w:numPr>
          <w:ilvl w:val="0"/>
          <w:numId w:val="5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Package skeleton: release pipeline, permission sets for reps and managers, and a “Field” app in Salesforce.</w:t>
      </w:r>
    </w:p>
    <w:p>
      <w:pPr>
        <w:numPr>
          <w:ilvl w:val="0"/>
          <w:numId w:val="5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Field-side: keys per client, service endpoints, rate limits and logging.</w:t>
      </w:r>
    </w:p>
    <w:p>
      <w:pPr>
        <w:numPr>
          <w:ilvl w:val="0"/>
          <w:numId w:val="5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Embedded suite: a Field tab that opens the portal already signed in, plus deep links that land on a specific FA/Team page.</w:t>
      </w:r>
    </w:p>
    <w:p>
      <w:pPr>
        <w:numPr>
          <w:ilvl w:val="0"/>
          <w:numId w:val="5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Admin setup page: CRD field mapping, team source (client or FINTRX), Task write-back on or off, connection test.</w:t>
      </w:r>
    </w:p>
    <w:tbl>
      <w:tblPr>
        <w:tblW w:w="10080" w:type="dxa"/>
        <w:tblBorders>
          <w:top w:val="nil"/>
          <w:bottom w:val="nil"/>
          <w:right w:val="nil"/>
          <w:left w:val="single" w:sz="24" w:color="0E9F6E"/>
        </w:tblBorders>
      </w:tblPr>
      <w:tblGrid>
        <w:gridCol w:w="10080"/>
      </w:tblGrid>
      <w:tr>
        <w:trPr>
          <w:cantSplit/>
        </w:trPr>
        <w:tc>
          <w:tcPr>
            <w:tcW w:w="10080" w:type="dxa"/>
            <w:shd w:val="clear" w:color="auto" w:fill="F3FAF7"/>
            <w:tcMar>
              <w:top w:w="120" w:type="dxa"/>
              <w:bottom w:w="120" w:type="dxa"/>
              <w:left w:w="20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57A55"/>
                <w:spacing w:val="20"/>
                <w:sz w:val="16"/>
                <w:szCs w:val="16"/>
              </w:rPr>
              <w:t xml:space="preserve">DONE WHEN</w:t>
            </w:r>
            <w:r>
              <w:rPr>
                <w:color w:val="1F2A37"/>
                <w:sz w:val="20"/>
                <w:szCs w:val="20"/>
              </w:rPr>
              <w:t xml:space="preserve">  </w:t>
            </w:r>
            <w:r>
              <w:rPr>
                <w:color w:val="1F2A37"/>
                <w:sz w:val="19"/>
                <w:szCs w:val="19"/>
              </w:rPr>
              <w:t xml:space="preserve">A pilot org installs the package, connects, opens the full suite on the Field tab and clicks from an FA through to the matching Field page.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keepNext/>
        <w:spacing w:before="280" w:after="100" w:line="276" w:lineRule="auto"/>
      </w:pPr>
      <w:r>
        <w:rPr>
          <w:b/>
          <w:color w:val="0E9F6E"/>
          <w:sz w:val="26"/>
          <w:szCs w:val="26"/>
        </w:rPr>
        <w:t xml:space="preserve">Phase 2 · Native FA/Team panel</w:t>
      </w:r>
    </w:p>
    <w:p>
      <w:pPr>
        <w:keepNext/>
        <w:spacing w:before="0" w:after="100" w:line="276" w:lineRule="auto"/>
      </w:pPr>
      <w:r>
        <w:rPr>
          <w:b/>
          <w:color w:val="6B7280"/>
          <w:sz w:val="18"/>
          <w:szCs w:val="18"/>
        </w:rPr>
        <w:t xml:space="preserve">Weeks 9–15</w:t>
      </w:r>
    </w:p>
    <w:p>
      <w:pPr>
        <w:numPr>
          <w:ilvl w:val="0"/>
          <w:numId w:val="6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Record-page panel for Contacts (FAs) and Accounts or teams: Field summary, top signals, recommended action, key metrics and “Open in Field”.</w:t>
      </w:r>
    </w:p>
    <w:p>
      <w:pPr>
        <w:numPr>
          <w:ilvl w:val="0"/>
          <w:numId w:val="6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Mobile layout with stacked cards and large tap targets.</w:t>
      </w:r>
    </w:p>
    <w:p>
      <w:pPr>
        <w:numPr>
          <w:ilvl w:val="0"/>
          <w:numId w:val="6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States for no CRD match, no data and errors.</w:t>
      </w:r>
    </w:p>
    <w:p>
      <w:pPr>
        <w:numPr>
          <w:ilvl w:val="0"/>
          <w:numId w:val="6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Optional: create a Salesforce Task from a signal.</w:t>
      </w:r>
    </w:p>
    <w:tbl>
      <w:tblPr>
        <w:tblW w:w="10080" w:type="dxa"/>
        <w:tblBorders>
          <w:top w:val="nil"/>
          <w:bottom w:val="nil"/>
          <w:right w:val="nil"/>
          <w:left w:val="single" w:sz="24" w:color="0E9F6E"/>
        </w:tblBorders>
      </w:tblPr>
      <w:tblGrid>
        <w:gridCol w:w="10080"/>
      </w:tblGrid>
      <w:tr>
        <w:trPr>
          <w:cantSplit/>
        </w:trPr>
        <w:tc>
          <w:tcPr>
            <w:tcW w:w="10080" w:type="dxa"/>
            <w:shd w:val="clear" w:color="auto" w:fill="F3FAF7"/>
            <w:tcMar>
              <w:top w:w="120" w:type="dxa"/>
              <w:bottom w:w="120" w:type="dxa"/>
              <w:left w:w="20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57A55"/>
                <w:spacing w:val="20"/>
                <w:sz w:val="16"/>
                <w:szCs w:val="16"/>
              </w:rPr>
              <w:t xml:space="preserve">DONE WHEN</w:t>
            </w:r>
            <w:r>
              <w:rPr>
                <w:color w:val="1F2A37"/>
                <w:sz w:val="20"/>
                <w:szCs w:val="20"/>
              </w:rPr>
              <w:t xml:space="preserve">  </w:t>
            </w:r>
            <w:r>
              <w:rPr>
                <w:color w:val="1F2A37"/>
                <w:sz w:val="19"/>
                <w:szCs w:val="19"/>
              </w:rPr>
              <w:t xml:space="preserve">A rep on an FA page, on desktop or phone, sees the same signals as the Field FA/Team page.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keepNext/>
        <w:spacing w:before="280" w:after="100" w:line="276" w:lineRule="auto"/>
      </w:pPr>
      <w:r>
        <w:rPr>
          <w:b/>
          <w:color w:val="0E9F6E"/>
          <w:sz w:val="26"/>
          <w:szCs w:val="26"/>
        </w:rPr>
        <w:t xml:space="preserve">Phase 3 · Brief and Ask Field</w:t>
      </w:r>
    </w:p>
    <w:p>
      <w:pPr>
        <w:keepNext/>
        <w:spacing w:before="0" w:after="100" w:line="276" w:lineRule="auto"/>
      </w:pPr>
      <w:r>
        <w:rPr>
          <w:b/>
          <w:color w:val="6B7280"/>
          <w:sz w:val="18"/>
          <w:szCs w:val="18"/>
        </w:rPr>
        <w:t xml:space="preserve">Weeks 13–19</w:t>
      </w:r>
    </w:p>
    <w:p>
      <w:pPr>
        <w:numPr>
          <w:ilvl w:val="0"/>
          <w:numId w:val="7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Brief: Home page component and mobile page, role-aware (wholesaler or manager), using the same content as the email brief.</w:t>
      </w:r>
    </w:p>
    <w:p>
      <w:pPr>
        <w:numPr>
          <w:ilvl w:val="0"/>
          <w:numId w:val="7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Ask Field: chat panel in the utility bar and on record pages, plus a mobile quick action.</w:t>
      </w:r>
    </w:p>
    <w:p>
      <w:pPr>
        <w:numPr>
          <w:ilvl w:val="0"/>
          <w:numId w:val="7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Ask Field knows the FA/Team on screen, so “What should I talk to Smith Group about?” works without naming the team.</w:t>
      </w:r>
    </w:p>
    <w:p>
      <w:pPr>
        <w:numPr>
          <w:ilvl w:val="0"/>
          <w:numId w:val="7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Answers arrive progressively through Salesforce, or stream directly from Field if that option is chosen.</w:t>
      </w:r>
    </w:p>
    <w:p>
      <w:pPr>
        <w:numPr>
          <w:ilvl w:val="0"/>
          <w:numId w:val="7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Usage tracking for every native screen and the embedded tab.</w:t>
      </w:r>
    </w:p>
    <w:tbl>
      <w:tblPr>
        <w:tblW w:w="10080" w:type="dxa"/>
        <w:tblBorders>
          <w:top w:val="nil"/>
          <w:bottom w:val="nil"/>
          <w:right w:val="nil"/>
          <w:left w:val="single" w:sz="24" w:color="0E9F6E"/>
        </w:tblBorders>
      </w:tblPr>
      <w:tblGrid>
        <w:gridCol w:w="10080"/>
      </w:tblGrid>
      <w:tr>
        <w:trPr>
          <w:cantSplit/>
        </w:trPr>
        <w:tc>
          <w:tcPr>
            <w:tcW w:w="10080" w:type="dxa"/>
            <w:shd w:val="clear" w:color="auto" w:fill="F3FAF7"/>
            <w:tcMar>
              <w:top w:w="120" w:type="dxa"/>
              <w:bottom w:w="120" w:type="dxa"/>
              <w:left w:w="20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57A55"/>
                <w:spacing w:val="20"/>
                <w:sz w:val="16"/>
                <w:szCs w:val="16"/>
              </w:rPr>
              <w:t xml:space="preserve">DONE WHEN</w:t>
            </w:r>
            <w:r>
              <w:rPr>
                <w:color w:val="1F2A37"/>
                <w:sz w:val="20"/>
                <w:szCs w:val="20"/>
              </w:rPr>
              <w:t xml:space="preserve">  </w:t>
            </w:r>
            <w:r>
              <w:rPr>
                <w:color w:val="1F2A37"/>
                <w:sz w:val="19"/>
                <w:szCs w:val="19"/>
              </w:rPr>
              <w:t xml:space="preserve">All three native screens work on desktop and mobile in a test org.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keepNext/>
        <w:spacing w:before="280" w:after="100" w:line="276" w:lineRule="auto"/>
      </w:pPr>
      <w:r>
        <w:rPr>
          <w:b/>
          <w:color w:val="0E9F6E"/>
          <w:sz w:val="26"/>
          <w:szCs w:val="26"/>
        </w:rPr>
        <w:t xml:space="preserve">Phase 4 · Hardening and pilot</w:t>
      </w:r>
    </w:p>
    <w:p>
      <w:pPr>
        <w:keepNext/>
        <w:spacing w:before="0" w:after="100" w:line="276" w:lineRule="auto"/>
      </w:pPr>
      <w:r>
        <w:rPr>
          <w:b/>
          <w:color w:val="6B7280"/>
          <w:sz w:val="18"/>
          <w:szCs w:val="18"/>
        </w:rPr>
        <w:t xml:space="preserve">Weeks 18–24</w:t>
      </w:r>
    </w:p>
    <w:p>
      <w:pPr>
        <w:numPr>
          <w:ilvl w:val="0"/>
          <w:numId w:val="8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Test across org setups: profiles, sharing rules and custom Contact fields.</w:t>
      </w:r>
    </w:p>
    <w:p>
      <w:pPr>
        <w:numPr>
          <w:ilvl w:val="0"/>
          <w:numId w:val="8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Device testing on iOS and Android in the Salesforce mobile app.</w:t>
      </w:r>
    </w:p>
    <w:p>
      <w:pPr>
        <w:numPr>
          <w:ilvl w:val="0"/>
          <w:numId w:val="8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Performance target: FA/Team panel loads in under 2 seconds.</w:t>
      </w:r>
    </w:p>
    <w:p>
      <w:pPr>
        <w:numPr>
          <w:ilvl w:val="0"/>
          <w:numId w:val="8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Security preparation: code scan, penetration test of Field’s servers (in scope for the review) and security documentation.</w:t>
      </w:r>
    </w:p>
    <w:p>
      <w:pPr>
        <w:numPr>
          <w:ilvl w:val="0"/>
          <w:numId w:val="8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Pilot with one or two asset managers, sandbox first, then production; collect feedback and fix issues.</w:t>
      </w:r>
    </w:p>
    <w:tbl>
      <w:tblPr>
        <w:tblW w:w="10080" w:type="dxa"/>
        <w:tblBorders>
          <w:top w:val="nil"/>
          <w:bottom w:val="nil"/>
          <w:right w:val="nil"/>
          <w:left w:val="single" w:sz="24" w:color="0E9F6E"/>
        </w:tblBorders>
      </w:tblPr>
      <w:tblGrid>
        <w:gridCol w:w="10080"/>
      </w:tblGrid>
      <w:tr>
        <w:trPr>
          <w:cantSplit/>
        </w:trPr>
        <w:tc>
          <w:tcPr>
            <w:tcW w:w="10080" w:type="dxa"/>
            <w:shd w:val="clear" w:color="auto" w:fill="F3FAF7"/>
            <w:tcMar>
              <w:top w:w="120" w:type="dxa"/>
              <w:bottom w:w="120" w:type="dxa"/>
              <w:left w:w="20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57A55"/>
                <w:spacing w:val="20"/>
                <w:sz w:val="16"/>
                <w:szCs w:val="16"/>
              </w:rPr>
              <w:t xml:space="preserve">DONE WHEN</w:t>
            </w:r>
            <w:r>
              <w:rPr>
                <w:color w:val="1F2A37"/>
                <w:sz w:val="20"/>
                <w:szCs w:val="20"/>
              </w:rPr>
              <w:t xml:space="preserve">  </w:t>
            </w:r>
            <w:r>
              <w:rPr>
                <w:color w:val="1F2A37"/>
                <w:sz w:val="19"/>
                <w:szCs w:val="19"/>
              </w:rPr>
              <w:t xml:space="preserve">Pilot clients use it daily and the security package is ready to submit.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keepNext/>
        <w:spacing w:before="280" w:after="100" w:line="276" w:lineRule="auto"/>
      </w:pPr>
      <w:r>
        <w:rPr>
          <w:b/>
          <w:color w:val="0E9F6E"/>
          <w:sz w:val="26"/>
          <w:szCs w:val="26"/>
        </w:rPr>
        <w:t xml:space="preserve">Phase 5 · AppExchange review and launch</w:t>
      </w:r>
    </w:p>
    <w:p>
      <w:pPr>
        <w:keepNext/>
        <w:spacing w:before="0" w:after="100" w:line="276" w:lineRule="auto"/>
      </w:pPr>
      <w:r>
        <w:rPr>
          <w:b/>
          <w:color w:val="6B7280"/>
          <w:sz w:val="18"/>
          <w:szCs w:val="18"/>
        </w:rPr>
        <w:t xml:space="preserve">Weeks 24–32</w:t>
      </w:r>
    </w:p>
    <w:p>
      <w:pPr>
        <w:numPr>
          <w:ilvl w:val="0"/>
          <w:numId w:val="9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Submit for security review; plan for one round of fixes.</w:t>
      </w:r>
    </w:p>
    <w:p>
      <w:pPr>
        <w:numPr>
          <w:ilvl w:val="0"/>
          <w:numId w:val="9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Listing: description, screenshots, demo org and pricing model.</w:t>
      </w:r>
    </w:p>
    <w:p>
      <w:pPr>
        <w:numPr>
          <w:ilvl w:val="0"/>
          <w:numId w:val="9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Onboarding kit: install guide, admin setup checklist and rep quick-start.</w:t>
      </w:r>
    </w:p>
    <w:tbl>
      <w:tblPr>
        <w:tblW w:w="10080" w:type="dxa"/>
        <w:tblBorders>
          <w:top w:val="nil"/>
          <w:bottom w:val="nil"/>
          <w:right w:val="nil"/>
          <w:left w:val="single" w:sz="24" w:color="0E9F6E"/>
        </w:tblBorders>
      </w:tblPr>
      <w:tblGrid>
        <w:gridCol w:w="10080"/>
      </w:tblGrid>
      <w:tr>
        <w:trPr>
          <w:cantSplit/>
        </w:trPr>
        <w:tc>
          <w:tcPr>
            <w:tcW w:w="10080" w:type="dxa"/>
            <w:shd w:val="clear" w:color="auto" w:fill="F3FAF7"/>
            <w:tcMar>
              <w:top w:w="120" w:type="dxa"/>
              <w:bottom w:w="120" w:type="dxa"/>
              <w:left w:w="20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57A55"/>
                <w:spacing w:val="20"/>
                <w:sz w:val="16"/>
                <w:szCs w:val="16"/>
              </w:rPr>
              <w:t xml:space="preserve">DONE WHEN</w:t>
            </w:r>
            <w:r>
              <w:rPr>
                <w:color w:val="1F2A37"/>
                <w:sz w:val="20"/>
                <w:szCs w:val="20"/>
              </w:rPr>
              <w:t xml:space="preserve">  </w:t>
            </w:r>
            <w:r>
              <w:rPr>
                <w:color w:val="1F2A37"/>
                <w:sz w:val="19"/>
                <w:szCs w:val="19"/>
              </w:rPr>
              <w:t xml:space="preserve">Listed on AppExchange with a repeatable install of about 1–2 days per client.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keepNext/>
        <w:spacing w:before="280" w:after="100" w:line="276" w:lineRule="auto"/>
      </w:pPr>
      <w:r>
        <w:rPr>
          <w:b/>
          <w:color w:val="0E9F6E"/>
          <w:sz w:val="26"/>
          <w:szCs w:val="26"/>
        </w:rPr>
        <w:t xml:space="preserve">Ongoing, after launch</w:t>
      </w:r>
    </w:p>
    <w:p>
      <w:pPr>
        <w:numPr>
          <w:ilvl w:val="0"/>
          <w:numId w:val="10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Regression testing for each of Salesforce’s three releases a year.</w:t>
      </w:r>
    </w:p>
    <w:p>
      <w:pPr>
        <w:numPr>
          <w:ilvl w:val="0"/>
          <w:numId w:val="10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Client onboarding, support and package updates.</w:t>
      </w:r>
    </w:p>
    <w:p>
      <w:pPr>
        <w:numPr>
          <w:ilvl w:val="0"/>
          <w:numId w:val="10"/>
        </w:numPr>
        <w:spacing w:before="0" w:after="80" w:line="276" w:lineRule="auto"/>
      </w:pPr>
      <w:r>
        <w:rPr>
          <w:color w:val="1F2A37"/>
          <w:sz w:val="20"/>
          <w:szCs w:val="20"/>
        </w:rPr>
        <w:t xml:space="preserve">Move further screens native when usage data shows which embedded screens reps open most.</w:t>
      </w:r>
    </w:p>
    <w:p>
      <w:pPr>
        <w:pStyle w:val="Heading1"/>
        <w:keepNext/>
        <w:pageBreakBefore/>
        <w:spacing w:before="0" w:after="160" w:line="276" w:lineRule="auto"/>
      </w:pPr>
      <w:r>
        <w:rPr>
          <w:b/>
          <w:color w:val="111928"/>
          <w:sz w:val="36"/>
          <w:szCs w:val="36"/>
        </w:rPr>
        <w:t xml:space="preserve">5. Team and staffing</w:t>
      </w:r>
    </w:p>
    <w:tbl>
      <w:tblPr>
        <w:tblW w:w="10080" w:type="dxa"/>
        <w:tblBorders>
          <w:top w:val="single" w:sz="4" w:color="E5E7EB"/>
          <w:left w:val="single" w:sz="4" w:color="E5E7EB"/>
          <w:bottom w:val="single" w:sz="4" w:color="E5E7EB"/>
          <w:right w:val="single" w:sz="4" w:color="E5E7EB"/>
          <w:insideH w:val="single" w:sz="4" w:color="E5E7EB"/>
          <w:insideV w:val="single" w:sz="4" w:color="E5E7EB"/>
        </w:tblBorders>
        <w:tblLayout w:type="fixed"/>
      </w:tblPr>
      <w:tblGrid>
        <w:gridCol w:w="4234"/>
        <w:gridCol w:w="2016"/>
        <w:gridCol w:w="3830"/>
      </w:tblGrid>
      <w:tr>
        <w:trPr>
          <w:tblHeader/>
          <w:cantSplit/>
        </w:trPr>
        <w:tc>
          <w:tcPr>
            <w:tcW w:w="4234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w="2016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Allocation</w:t>
            </w:r>
          </w:p>
        </w:tc>
        <w:tc>
          <w:tcPr>
            <w:tcW w:w="3830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rPr>
          <w:cantSplit/>
        </w:trPr>
        <w:tc>
          <w:tcPr>
            <w:tcW w:w="4234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Salesforce lead / architect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1.0</w:t>
            </w:r>
          </w:p>
        </w:tc>
        <w:tc>
          <w:tcPr>
            <w:tcW w:w="383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Phases 0–5</w:t>
            </w:r>
          </w:p>
        </w:tc>
      </w:tr>
      <w:tr>
        <w:trPr>
          <w:cantSplit/>
        </w:trPr>
        <w:tc>
          <w:tcPr>
            <w:tcW w:w="4234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Salesforce developers</w:t>
            </w:r>
          </w:p>
        </w:tc>
        <w:tc>
          <w:tcPr>
            <w:tcW w:w="2016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2.0</w:t>
            </w:r>
          </w:p>
        </w:tc>
        <w:tc>
          <w:tcPr>
            <w:tcW w:w="3830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Phases 1–5</w:t>
            </w:r>
          </w:p>
        </w:tc>
      </w:tr>
      <w:tr>
        <w:trPr>
          <w:cantSplit/>
        </w:trPr>
        <w:tc>
          <w:tcPr>
            <w:tcW w:w="4234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Field backend developer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1.0</w:t>
            </w:r>
          </w:p>
        </w:tc>
        <w:tc>
          <w:tcPr>
            <w:tcW w:w="383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Mainly phases 1–3</w:t>
            </w:r>
          </w:p>
        </w:tc>
      </w:tr>
      <w:tr>
        <w:trPr>
          <w:cantSplit/>
        </w:trPr>
        <w:tc>
          <w:tcPr>
            <w:tcW w:w="4234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QA</w:t>
            </w:r>
          </w:p>
        </w:tc>
        <w:tc>
          <w:tcPr>
            <w:tcW w:w="2016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0.5</w:t>
            </w:r>
          </w:p>
        </w:tc>
        <w:tc>
          <w:tcPr>
            <w:tcW w:w="3830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Phases 2–5</w:t>
            </w:r>
          </w:p>
        </w:tc>
      </w:tr>
      <w:tr>
        <w:trPr>
          <w:cantSplit/>
        </w:trPr>
        <w:tc>
          <w:tcPr>
            <w:tcW w:w="4234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Designer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0.5</w:t>
            </w:r>
          </w:p>
        </w:tc>
        <w:tc>
          <w:tcPr>
            <w:tcW w:w="3830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Phases 0–3</w:t>
            </w:r>
          </w:p>
        </w:tc>
      </w:tr>
      <w:tr>
        <w:trPr>
          <w:cantSplit/>
        </w:trPr>
        <w:tc>
          <w:tcPr>
            <w:tcW w:w="4234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After launch</w:t>
            </w:r>
          </w:p>
        </w:tc>
        <w:tc>
          <w:tcPr>
            <w:tcW w:w="2016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1–1.5 engineers</w:t>
            </w:r>
          </w:p>
        </w:tc>
        <w:tc>
          <w:tcPr>
            <w:tcW w:w="3830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Ongoing</w:t>
            </w:r>
          </w:p>
        </w:tc>
      </w:tr>
    </w:tbl>
    <w:p>
      <w:pPr>
        <w:spacing w:before="0" w:after="120" w:line="276" w:lineRule="auto"/>
      </w:pPr>
    </w:p>
    <w:p>
      <w:pPr>
        <w:pStyle w:val="Heading2"/>
        <w:keepNext/>
        <w:spacing w:before="280" w:after="100" w:line="276" w:lineRule="auto"/>
      </w:pPr>
      <w:r>
        <w:rPr>
          <w:b/>
          <w:color w:val="0E9F6E"/>
          <w:sz w:val="26"/>
          <w:szCs w:val="26"/>
        </w:rPr>
        <w:t xml:space="preserve">Milestones</w:t>
      </w:r>
    </w:p>
    <w:tbl>
      <w:tblPr>
        <w:tblW w:w="10080" w:type="dxa"/>
        <w:tblBorders>
          <w:top w:val="single" w:sz="4" w:color="E5E7EB"/>
          <w:left w:val="single" w:sz="4" w:color="E5E7EB"/>
          <w:bottom w:val="single" w:sz="4" w:color="E5E7EB"/>
          <w:right w:val="single" w:sz="4" w:color="E5E7EB"/>
          <w:insideH w:val="single" w:sz="4" w:color="E5E7EB"/>
          <w:insideV w:val="single" w:sz="4" w:color="E5E7EB"/>
        </w:tblBorders>
        <w:tblLayout w:type="fixed"/>
      </w:tblPr>
      <w:tblGrid>
        <w:gridCol w:w="1512"/>
        <w:gridCol w:w="8568"/>
      </w:tblGrid>
      <w:tr>
        <w:trPr>
          <w:tblHeader/>
          <w:cantSplit/>
        </w:trPr>
        <w:tc>
          <w:tcPr>
            <w:tcW w:w="1512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w="8568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Milestone</w:t>
            </w:r>
          </w:p>
        </w:tc>
      </w:tr>
      <w:tr>
        <w:trPr>
          <w:cantSplit/>
        </w:trPr>
        <w:tc>
          <w:tcPr>
            <w:tcW w:w="1512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10</w:t>
            </w:r>
          </w:p>
        </w:tc>
        <w:tc>
          <w:tcPr>
            <w:tcW w:w="8568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Embedded suite live in a pilot org; demo-able to clients</w:t>
            </w:r>
          </w:p>
        </w:tc>
      </w:tr>
      <w:tr>
        <w:trPr>
          <w:cantSplit/>
        </w:trPr>
        <w:tc>
          <w:tcPr>
            <w:tcW w:w="1512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19</w:t>
            </w:r>
          </w:p>
        </w:tc>
        <w:tc>
          <w:tcPr>
            <w:tcW w:w="8568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All native screens complete</w:t>
            </w:r>
          </w:p>
        </w:tc>
      </w:tr>
      <w:tr>
        <w:trPr>
          <w:cantSplit/>
        </w:trPr>
        <w:tc>
          <w:tcPr>
            <w:tcW w:w="1512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24</w:t>
            </w:r>
          </w:p>
        </w:tc>
        <w:tc>
          <w:tcPr>
            <w:tcW w:w="8568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Production pilot</w:t>
            </w:r>
          </w:p>
        </w:tc>
      </w:tr>
      <w:tr>
        <w:trPr>
          <w:cantSplit/>
        </w:trPr>
        <w:tc>
          <w:tcPr>
            <w:tcW w:w="1512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~32</w:t>
            </w:r>
          </w:p>
        </w:tc>
        <w:tc>
          <w:tcPr>
            <w:tcW w:w="8568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AppExchange listing</w:t>
            </w:r>
          </w:p>
        </w:tc>
      </w:tr>
    </w:tbl>
    <w:p>
      <w:pPr>
        <w:spacing w:before="0" w:after="120" w:line="276" w:lineRule="auto"/>
      </w:pPr>
    </w:p>
    <w:p>
      <w:pPr>
        <w:pStyle w:val="Heading1"/>
        <w:keepNext/>
        <w:pageBreakBefore/>
        <w:spacing w:before="0" w:after="160" w:line="276" w:lineRule="auto"/>
      </w:pPr>
      <w:r>
        <w:rPr>
          <w:b/>
          <w:color w:val="111928"/>
          <w:sz w:val="36"/>
          <w:szCs w:val="36"/>
        </w:rPr>
        <w:t xml:space="preserve">6. Risks</w:t>
      </w:r>
    </w:p>
    <w:tbl>
      <w:tblPr>
        <w:tblW w:w="10080" w:type="dxa"/>
        <w:tblBorders>
          <w:top w:val="single" w:sz="4" w:color="E5E7EB"/>
          <w:left w:val="single" w:sz="4" w:color="E5E7EB"/>
          <w:bottom w:val="single" w:sz="4" w:color="E5E7EB"/>
          <w:right w:val="single" w:sz="4" w:color="E5E7EB"/>
          <w:insideH w:val="single" w:sz="4" w:color="E5E7EB"/>
          <w:insideV w:val="single" w:sz="4" w:color="E5E7EB"/>
        </w:tblBorders>
        <w:tblLayout w:type="fixed"/>
      </w:tblPr>
      <w:tblGrid>
        <w:gridCol w:w="2621"/>
        <w:gridCol w:w="3427"/>
        <w:gridCol w:w="4032"/>
      </w:tblGrid>
      <w:tr>
        <w:trPr>
          <w:tblHeader/>
          <w:cantSplit/>
        </w:trPr>
        <w:tc>
          <w:tcPr>
            <w:tcW w:w="2621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w="3427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w="4032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w="2621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AppExchange security review</w:t>
            </w:r>
          </w:p>
        </w:tc>
        <w:tc>
          <w:tcPr>
            <w:tcW w:w="3427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Longest lead item; first submissions often fail</w:t>
            </w:r>
          </w:p>
        </w:tc>
        <w:tc>
          <w:tcPr>
            <w:tcW w:w="4032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Pen-test Field’s servers early; scan code every sprint; budget a fix round</w:t>
            </w:r>
          </w:p>
        </w:tc>
      </w:tr>
      <w:tr>
        <w:trPr>
          <w:cantSplit/>
        </w:trPr>
        <w:tc>
          <w:tcPr>
            <w:tcW w:w="2621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Different setups at each client</w:t>
            </w:r>
          </w:p>
        </w:tc>
        <w:tc>
          <w:tcPr>
            <w:tcW w:w="3427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Custom fields, profiles and sharing rules break assumptions</w:t>
            </w:r>
          </w:p>
        </w:tc>
        <w:tc>
          <w:tcPr>
            <w:tcW w:w="4032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Admin setup page; test against several org shapes; budget time per install</w:t>
            </w:r>
          </w:p>
        </w:tc>
      </w:tr>
      <w:tr>
        <w:trPr>
          <w:cantSplit/>
        </w:trPr>
        <w:tc>
          <w:tcPr>
            <w:tcW w:w="2621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Mobile app limits</w:t>
            </w:r>
          </w:p>
        </w:tc>
        <w:tc>
          <w:tcPr>
            <w:tcW w:w="3427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Chart libraries and offline behavior are restricted</w:t>
            </w:r>
          </w:p>
        </w:tc>
        <w:tc>
          <w:tcPr>
            <w:tcW w:w="4032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Keep mobile screens simple; link to Field for deep analysis</w:t>
            </w:r>
          </w:p>
        </w:tc>
      </w:tr>
      <w:tr>
        <w:trPr>
          <w:cantSplit/>
        </w:trPr>
        <w:tc>
          <w:tcPr>
            <w:tcW w:w="2621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Ask Field response delivery</w:t>
            </w:r>
          </w:p>
        </w:tc>
        <w:tc>
          <w:tcPr>
            <w:tcW w:w="3427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Salesforce server calls cannot stream answers</w:t>
            </w:r>
          </w:p>
        </w:tc>
        <w:tc>
          <w:tcPr>
            <w:tcW w:w="4032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Decide early between progressive delivery and direct streaming from Field</w:t>
            </w:r>
          </w:p>
        </w:tc>
      </w:tr>
      <w:tr>
        <w:trPr>
          <w:cantSplit/>
        </w:trPr>
        <w:tc>
          <w:tcPr>
            <w:tcW w:w="2621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Partner program terms</w:t>
            </w:r>
          </w:p>
        </w:tc>
        <w:tc>
          <w:tcPr>
            <w:tcW w:w="3427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Agreement and revenue share affect pricing</w:t>
            </w:r>
          </w:p>
        </w:tc>
        <w:tc>
          <w:tcPr>
            <w:tcW w:w="4032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Confirm current terms with a Salesforce partner manager in phase 0</w:t>
            </w:r>
          </w:p>
        </w:tc>
      </w:tr>
    </w:tbl>
    <w:p>
      <w:pPr>
        <w:spacing w:before="0" w:after="120" w:line="276" w:lineRule="auto"/>
      </w:pPr>
    </w:p>
    <w:p>
      <w:pPr>
        <w:pStyle w:val="Heading2"/>
        <w:keepNext/>
        <w:spacing w:before="280" w:after="100" w:line="276" w:lineRule="auto"/>
      </w:pPr>
      <w:r>
        <w:rPr>
          <w:b/>
          <w:color w:val="0E9F6E"/>
          <w:sz w:val="26"/>
          <w:szCs w:val="26"/>
        </w:rPr>
        <w:t xml:space="preserve">Decisions to make early</w:t>
      </w:r>
    </w:p>
    <w:tbl>
      <w:tblPr>
        <w:tblW w:w="10080" w:type="dxa"/>
        <w:tblBorders>
          <w:top w:val="single" w:sz="4" w:color="E5E7EB"/>
          <w:left w:val="single" w:sz="4" w:color="E5E7EB"/>
          <w:bottom w:val="single" w:sz="4" w:color="E5E7EB"/>
          <w:right w:val="single" w:sz="4" w:color="E5E7EB"/>
          <w:insideH w:val="single" w:sz="4" w:color="E5E7EB"/>
          <w:insideV w:val="single" w:sz="4" w:color="E5E7EB"/>
        </w:tblBorders>
        <w:tblLayout w:type="fixed"/>
      </w:tblPr>
      <w:tblGrid>
        <w:gridCol w:w="2621"/>
        <w:gridCol w:w="5443"/>
        <w:gridCol w:w="2016"/>
      </w:tblGrid>
      <w:tr>
        <w:trPr>
          <w:tblHeader/>
          <w:cantSplit/>
        </w:trPr>
        <w:tc>
          <w:tcPr>
            <w:tcW w:w="2621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w="5443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Options</w:t>
            </w:r>
          </w:p>
        </w:tc>
        <w:tc>
          <w:tcPr>
            <w:tcW w:w="2016" w:type="dxa"/>
            <w:shd w:val="clear" w:color="auto" w:fill="1119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8"/>
                <w:szCs w:val="18"/>
              </w:rPr>
              <w:t xml:space="preserve">Needed by</w:t>
            </w:r>
          </w:p>
        </w:tc>
      </w:tr>
      <w:tr>
        <w:trPr>
          <w:cantSplit/>
        </w:trPr>
        <w:tc>
          <w:tcPr>
            <w:tcW w:w="2621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Ask Field delivery</w:t>
            </w:r>
          </w:p>
        </w:tc>
        <w:tc>
          <w:tcPr>
            <w:tcW w:w="5443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Through Salesforce servers, or directly from Field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Week 4</w:t>
            </w:r>
          </w:p>
        </w:tc>
      </w:tr>
      <w:tr>
        <w:trPr>
          <w:cantSplit/>
        </w:trPr>
        <w:tc>
          <w:tcPr>
            <w:tcW w:w="2621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Task write-back default</w:t>
            </w:r>
          </w:p>
        </w:tc>
        <w:tc>
          <w:tcPr>
            <w:tcW w:w="5443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On by default, or off until the client admin enables it</w:t>
            </w:r>
          </w:p>
        </w:tc>
        <w:tc>
          <w:tcPr>
            <w:tcW w:w="2016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Week 8</w:t>
            </w:r>
          </w:p>
        </w:tc>
      </w:tr>
      <w:tr>
        <w:trPr>
          <w:cantSplit/>
        </w:trPr>
        <w:tc>
          <w:tcPr>
            <w:tcW w:w="2621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Pricing</w:t>
            </w:r>
          </w:p>
        </w:tc>
        <w:tc>
          <w:tcPr>
            <w:tcW w:w="5443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Per user, per org, or bundled into existing data pack tiers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Week 20</w:t>
            </w:r>
          </w:p>
        </w:tc>
      </w:tr>
      <w:tr>
        <w:trPr>
          <w:cantSplit/>
        </w:trPr>
        <w:tc>
          <w:tcPr>
            <w:tcW w:w="2621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2A37"/>
                <w:sz w:val="18"/>
                <w:szCs w:val="18"/>
              </w:rPr>
              <w:t xml:space="preserve">Pilot clients</w:t>
            </w:r>
          </w:p>
        </w:tc>
        <w:tc>
          <w:tcPr>
            <w:tcW w:w="5443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Which one or two asset managers, and whether their Salesforce setup is typical</w:t>
            </w:r>
          </w:p>
        </w:tc>
        <w:tc>
          <w:tcPr>
            <w:tcW w:w="2016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2A37"/>
                <w:sz w:val="18"/>
                <w:szCs w:val="18"/>
              </w:rPr>
              <w:t xml:space="preserve">Week 12</w:t>
            </w:r>
          </w:p>
        </w:tc>
      </w:tr>
    </w:tbl>
    <w:p>
      <w:pPr>
        <w:spacing w:before="0" w:after="120" w:line="276" w:lineRule="auto"/>
      </w:pPr>
    </w:p>
    <w:sectPr>
      <w:footerReference w:type="default" r:id="rIdF"/>
      <w:pgSz w:w="12240" w:h="15840"/>
      <w:pgMar w:top="1080" w:right="1080" w:bottom="1080" w:left="1080" w:header="540" w:footer="540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6" w:color="E5E7EB"/>
      </w:pBdr>
      <w:tabs>
        <w:tab w:val="right" w:pos="10080"/>
      </w:tabs>
    </w:pPr>
    <w:r>
      <w:rPr>
        <w:color w:val="6B7280"/>
        <w:sz w:val="16"/>
        <w:szCs w:val="16"/>
      </w:rPr>
      <w:t xml:space="preserve">Field · Salesforce Integration Roadmap · Confidential</w:t>
    </w:r>
    <w:r>
      <w:rPr>
        <w:color w:val="6B7280"/>
        <w:sz w:val="16"/>
      </w:rPr>
      <w:tab/>
      <w:fldChar w:fldCharType="begin"/>
    </w:r>
    <w:r>
      <w:rPr>
        <w:color w:val="6B7280"/>
        <w:sz w:val="16"/>
      </w:rPr>
      <w:instrText xml:space="preserve"> PAGE </w:instrText>
    </w:r>
    <w:r>
      <w:rPr>
        <w:color w:val="6B7280"/>
        <w:sz w:val="16"/>
      </w:rPr>
      <w:fldChar w:fldCharType="separate"/>
    </w:r>
    <w:r>
      <w:rPr>
        <w:color w:val="6B7280"/>
        <w:sz w:val="16"/>
      </w:rPr>
      <w:t>2</w:t>
    </w:r>
    <w:r>
      <w:rPr>
        <w:color w:val="6B7280"/>
        <w:sz w:val="16"/>
      </w:rP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360" w:hanging="360"/>
      </w:pPr>
      <w:rPr>
        <w:color w:val="0E9F6E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360" w:hanging="360"/>
      </w:pPr>
      <w:rPr>
        <w:color w:val="0E9F6E"/>
        <w:b/>
      </w:rPr>
    </w:lvl>
  </w:abstract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Inter" w:hAnsi="Inter" w:eastAsia="Inter" w:cs="Inter"/>
        <w:color w:val="1F2A37"/>
        <w:sz w:val="20"/>
        <w:szCs w:val="2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color w:val="111928"/>
      <w:sz w:val="36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color w:val="0E9F6E"/>
      <w:sz w:val="2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Relationship Id="rIdF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Salesforce Integration Roadmap</dc:title>
  <dc:creator>Field</dc:creator>
  <dcterms:created xsi:type="dcterms:W3CDTF">2026-10-07T00:00:00Z</dcterms:created>
</cp:coreProperties>
</file>