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A27B8E" w14:textId="77777777" w:rsidR="00D81689" w:rsidRDefault="00AF0FA3" w:rsidP="00797FDB">
      <w:pPr>
        <w:pStyle w:val="Title"/>
        <w:spacing w:line="276" w:lineRule="auto"/>
        <w:jc w:val="both"/>
      </w:pPr>
      <w:r>
        <w:t>Lab 2, Integration of CR310 Data Logger with soil sensors and RF data logger for experimentation and wireless data acquisition</w:t>
      </w:r>
    </w:p>
    <w:p w14:paraId="486ADB70" w14:textId="77777777" w:rsidR="00D81689" w:rsidRDefault="00AF0FA3" w:rsidP="00797FDB">
      <w:pPr>
        <w:pStyle w:val="Author"/>
        <w:spacing w:line="276" w:lineRule="auto"/>
        <w:jc w:val="both"/>
      </w:pPr>
      <w:r>
        <w:t>Magnus Wood</w:t>
      </w:r>
    </w:p>
    <w:p w14:paraId="46714442" w14:textId="77777777" w:rsidR="00D81689" w:rsidRDefault="00AF0FA3" w:rsidP="00797FDB">
      <w:pPr>
        <w:pStyle w:val="Date"/>
        <w:spacing w:line="276" w:lineRule="auto"/>
        <w:jc w:val="both"/>
      </w:pPr>
      <w:r>
        <w:t>September 20, 2021</w:t>
      </w:r>
    </w:p>
    <w:p w14:paraId="02547963" w14:textId="77777777" w:rsidR="00D81689" w:rsidRDefault="00AF0FA3" w:rsidP="00797FDB">
      <w:pPr>
        <w:pStyle w:val="Heading1"/>
        <w:spacing w:line="276" w:lineRule="auto"/>
        <w:jc w:val="both"/>
      </w:pPr>
      <w:bookmarkStart w:id="0" w:name="introduction"/>
      <w:r>
        <w:t>Introduction</w:t>
      </w:r>
    </w:p>
    <w:p w14:paraId="7DC18388" w14:textId="77777777" w:rsidR="00D81689" w:rsidRDefault="00AF0FA3" w:rsidP="00797FDB">
      <w:pPr>
        <w:pStyle w:val="FirstParagraph"/>
        <w:spacing w:line="276" w:lineRule="auto"/>
        <w:jc w:val="both"/>
      </w:pPr>
      <w:r>
        <w:t>Topic: Field experiment set-up: * configured</w:t>
      </w:r>
    </w:p>
    <w:p w14:paraId="03DFFDEF" w14:textId="77777777" w:rsidR="00D81689" w:rsidRDefault="00AF0FA3" w:rsidP="00797FDB">
      <w:pPr>
        <w:pStyle w:val="Heading1"/>
        <w:spacing w:line="276" w:lineRule="auto"/>
        <w:jc w:val="both"/>
      </w:pPr>
      <w:bookmarkStart w:id="1" w:name="methods-and-experimental-design"/>
      <w:bookmarkEnd w:id="0"/>
      <w:r>
        <w:t>Methods and Experimental Design</w:t>
      </w:r>
    </w:p>
    <w:p w14:paraId="431D783D" w14:textId="77777777" w:rsidR="00D81689" w:rsidRDefault="00AF0FA3" w:rsidP="00797FDB">
      <w:pPr>
        <w:pStyle w:val="FirstParagraph"/>
        <w:spacing w:line="276" w:lineRule="auto"/>
        <w:jc w:val="both"/>
      </w:pPr>
      <w:r>
        <w:t>The components of the measurement system were connected and tested in the following manner. First, the RF407 base station radio was connected to the laptop and setup according to provided instructions using the LoggerNet sof</w:t>
      </w:r>
      <w:r>
        <w:t>tware (Campbell Scientific, Logan, UT, USA). Each CR310 datalogger was then connected to the laptop and programmed with a separate PakBus address. After disconnecting the datalogger from the laptop, communication between the base station and the datalogger</w:t>
      </w:r>
      <w:r>
        <w:t xml:space="preserve"> was confirmed. The CS655 water content reflectometer sensors were connected to the datalogger according to the wiring diagram instructions, and tested using hand, soil and water in a lab setting to ensure the datalogger was correctly logging values from t</w:t>
      </w:r>
      <w:r>
        <w:t>he sensor. The final device setup is show in Figure 1.</w:t>
      </w:r>
    </w:p>
    <w:p w14:paraId="5C9AA1C3" w14:textId="77777777" w:rsidR="00D81689" w:rsidRDefault="00AF0FA3" w:rsidP="00797FDB">
      <w:pPr>
        <w:pStyle w:val="CaptionedFigure"/>
        <w:spacing w:line="276" w:lineRule="auto"/>
        <w:jc w:val="both"/>
      </w:pPr>
      <w:r>
        <w:rPr>
          <w:noProof/>
        </w:rPr>
        <w:drawing>
          <wp:inline distT="0" distB="0" distL="0" distR="0" wp14:anchorId="300CAF62" wp14:editId="327C43CF">
            <wp:extent cx="3422734" cy="2268415"/>
            <wp:effectExtent l="0" t="0" r="0" b="0"/>
            <wp:docPr id="1" name="Picture" descr="Figure 1. Device Diagram showing connections between dataloggers and sensors"/>
            <wp:cNvGraphicFramePr/>
            <a:graphic xmlns:a="http://schemas.openxmlformats.org/drawingml/2006/main">
              <a:graphicData uri="http://schemas.openxmlformats.org/drawingml/2006/picture">
                <pic:pic xmlns:pic="http://schemas.openxmlformats.org/drawingml/2006/picture">
                  <pic:nvPicPr>
                    <pic:cNvPr id="0" name="Picture" descr="lab2_analysis_files/figure-docx/Fig1_device-diagram-1.png"/>
                    <pic:cNvPicPr>
                      <a:picLocks noChangeAspect="1" noChangeArrowheads="1"/>
                    </pic:cNvPicPr>
                  </pic:nvPicPr>
                  <pic:blipFill rotWithShape="1">
                    <a:blip r:embed="rId7"/>
                    <a:srcRect l="1579" t="13604" r="40819" b="20576"/>
                    <a:stretch/>
                  </pic:blipFill>
                  <pic:spPr bwMode="auto">
                    <a:xfrm>
                      <a:off x="0" y="0"/>
                      <a:ext cx="3423632" cy="2269010"/>
                    </a:xfrm>
                    <a:prstGeom prst="rect">
                      <a:avLst/>
                    </a:prstGeom>
                    <a:noFill/>
                    <a:ln>
                      <a:noFill/>
                    </a:ln>
                    <a:extLst>
                      <a:ext uri="{53640926-AAD7-44D8-BBD7-CCE9431645EC}">
                        <a14:shadowObscured xmlns:a14="http://schemas.microsoft.com/office/drawing/2010/main"/>
                      </a:ext>
                    </a:extLst>
                  </pic:spPr>
                </pic:pic>
              </a:graphicData>
            </a:graphic>
          </wp:inline>
        </w:drawing>
      </w:r>
    </w:p>
    <w:p w14:paraId="333C9B5E" w14:textId="77777777" w:rsidR="00D81689" w:rsidRDefault="00AF0FA3" w:rsidP="00797FDB">
      <w:pPr>
        <w:pStyle w:val="ImageCaption"/>
        <w:spacing w:line="276" w:lineRule="auto"/>
        <w:jc w:val="both"/>
      </w:pPr>
      <w:r>
        <w:t>Figure 1. Device Diagram showing connections between dataloggers and sensors</w:t>
      </w:r>
    </w:p>
    <w:p w14:paraId="372143B5" w14:textId="77777777" w:rsidR="00D81689" w:rsidRDefault="00AF0FA3" w:rsidP="00797FDB">
      <w:pPr>
        <w:pStyle w:val="CaptionedFigure"/>
        <w:spacing w:line="276" w:lineRule="auto"/>
        <w:jc w:val="both"/>
      </w:pPr>
      <w:r>
        <w:rPr>
          <w:noProof/>
        </w:rPr>
        <w:lastRenderedPageBreak/>
        <w:drawing>
          <wp:inline distT="0" distB="0" distL="0" distR="0" wp14:anchorId="2E08217D" wp14:editId="47CA7E74">
            <wp:extent cx="2239108" cy="2449781"/>
            <wp:effectExtent l="0" t="0" r="0" b="0"/>
            <wp:docPr id="2" name="Picture" descr="Figure 2. Field Location: Eggert Family Organic Farm, Animal Sciences Rd, Pullman, WA 99163."/>
            <wp:cNvGraphicFramePr/>
            <a:graphic xmlns:a="http://schemas.openxmlformats.org/drawingml/2006/main">
              <a:graphicData uri="http://schemas.openxmlformats.org/drawingml/2006/picture">
                <pic:pic xmlns:pic="http://schemas.openxmlformats.org/drawingml/2006/picture">
                  <pic:nvPicPr>
                    <pic:cNvPr id="0" name="Picture" descr="Lab2_data/location.png"/>
                    <pic:cNvPicPr>
                      <a:picLocks noChangeAspect="1" noChangeArrowheads="1"/>
                    </pic:cNvPicPr>
                  </pic:nvPicPr>
                  <pic:blipFill>
                    <a:blip r:embed="rId8"/>
                    <a:stretch>
                      <a:fillRect/>
                    </a:stretch>
                  </pic:blipFill>
                  <pic:spPr bwMode="auto">
                    <a:xfrm>
                      <a:off x="0" y="0"/>
                      <a:ext cx="2281365" cy="2496014"/>
                    </a:xfrm>
                    <a:prstGeom prst="rect">
                      <a:avLst/>
                    </a:prstGeom>
                    <a:noFill/>
                    <a:ln w="9525">
                      <a:noFill/>
                      <a:headEnd/>
                      <a:tailEnd/>
                    </a:ln>
                  </pic:spPr>
                </pic:pic>
              </a:graphicData>
            </a:graphic>
          </wp:inline>
        </w:drawing>
      </w:r>
    </w:p>
    <w:p w14:paraId="122F5970" w14:textId="77777777" w:rsidR="00D81689" w:rsidRDefault="00AF0FA3" w:rsidP="00797FDB">
      <w:pPr>
        <w:pStyle w:val="ImageCaption"/>
        <w:spacing w:line="276" w:lineRule="auto"/>
        <w:jc w:val="both"/>
      </w:pPr>
      <w:r>
        <w:t>Figure 2. Field Location: Eggert Family Organic Farm, Animal Sciences Rd, Pullman, WA 99163.</w:t>
      </w:r>
    </w:p>
    <w:p w14:paraId="3D86D9A1" w14:textId="77777777" w:rsidR="00D81689" w:rsidRDefault="00AF0FA3" w:rsidP="00797FDB">
      <w:pPr>
        <w:pStyle w:val="BodyText"/>
        <w:spacing w:line="276" w:lineRule="auto"/>
        <w:jc w:val="both"/>
      </w:pPr>
      <w:r>
        <w:t xml:space="preserve">The device components were </w:t>
      </w:r>
      <w:r>
        <w:t xml:space="preserve">transported to the experiment location at Eggert Family Organic Farm (Animal Sciences Rd, Pullman, WA, USA), shown in Figure 2. The experimental location was set up and data was collected on Sep. 15, 2021 for ninety minutes starting at 12:00 PM. Each soil </w:t>
      </w:r>
      <w:r>
        <w:t>sensor was placed within 30cm of a different apple tree, with the base station placed between the two stations as seen in Figure 3.</w:t>
      </w:r>
    </w:p>
    <w:p w14:paraId="7957DB50" w14:textId="77777777" w:rsidR="00D81689" w:rsidRDefault="00AF0FA3" w:rsidP="00797FDB">
      <w:pPr>
        <w:pStyle w:val="CaptionedFigure"/>
        <w:spacing w:line="276" w:lineRule="auto"/>
        <w:jc w:val="both"/>
      </w:pPr>
      <w:r>
        <w:rPr>
          <w:noProof/>
        </w:rPr>
        <w:drawing>
          <wp:inline distT="0" distB="0" distL="0" distR="0" wp14:anchorId="6863FED1" wp14:editId="40796A10">
            <wp:extent cx="3071446" cy="1858107"/>
            <wp:effectExtent l="0" t="0" r="0" b="0"/>
            <wp:docPr id="3" name="Picture" descr="Figure 3. Field setup. Base station with laptop and RF407 at 1, CR310 datalogger and CS-650 soil moisture sensors at 2 and 3"/>
            <wp:cNvGraphicFramePr/>
            <a:graphic xmlns:a="http://schemas.openxmlformats.org/drawingml/2006/main">
              <a:graphicData uri="http://schemas.openxmlformats.org/drawingml/2006/picture">
                <pic:pic xmlns:pic="http://schemas.openxmlformats.org/drawingml/2006/picture">
                  <pic:nvPicPr>
                    <pic:cNvPr id="0" name="Picture" descr="Lab2_data/setup_corrected.png"/>
                    <pic:cNvPicPr>
                      <a:picLocks noChangeAspect="1" noChangeArrowheads="1"/>
                    </pic:cNvPicPr>
                  </pic:nvPicPr>
                  <pic:blipFill>
                    <a:blip r:embed="rId9"/>
                    <a:stretch>
                      <a:fillRect/>
                    </a:stretch>
                  </pic:blipFill>
                  <pic:spPr bwMode="auto">
                    <a:xfrm>
                      <a:off x="0" y="0"/>
                      <a:ext cx="3078417" cy="1862324"/>
                    </a:xfrm>
                    <a:prstGeom prst="rect">
                      <a:avLst/>
                    </a:prstGeom>
                    <a:noFill/>
                    <a:ln w="9525">
                      <a:noFill/>
                      <a:headEnd/>
                      <a:tailEnd/>
                    </a:ln>
                  </pic:spPr>
                </pic:pic>
              </a:graphicData>
            </a:graphic>
          </wp:inline>
        </w:drawing>
      </w:r>
    </w:p>
    <w:p w14:paraId="3A85867F" w14:textId="77777777" w:rsidR="00D81689" w:rsidRDefault="00AF0FA3" w:rsidP="00797FDB">
      <w:pPr>
        <w:pStyle w:val="ImageCaption"/>
        <w:spacing w:line="276" w:lineRule="auto"/>
        <w:jc w:val="both"/>
      </w:pPr>
      <w:r>
        <w:t>Figure 3. Field setup. Base station with laptop and RF407 at 1, CR310 datalogger and CS-650 soil moisture sensors at 2 and</w:t>
      </w:r>
      <w:r>
        <w:t xml:space="preserve"> 3</w:t>
      </w:r>
    </w:p>
    <w:p w14:paraId="2F85887C" w14:textId="108A912F" w:rsidR="00D81689" w:rsidRDefault="00AF0FA3" w:rsidP="00797FDB">
      <w:pPr>
        <w:pStyle w:val="BodyText"/>
        <w:spacing w:line="276" w:lineRule="auto"/>
        <w:jc w:val="both"/>
      </w:pPr>
      <w:r>
        <w:t>Water was acquired from a nearby farm sink, and kept in a bucket near the base station.The experiment involved three applications of water applied near the sensors, with water volume varying by station, as seen in Figure 4. Data was collected by the dat</w:t>
      </w:r>
      <w:r>
        <w:t>aloggers at intervals of 5 minutes. Station 2 was given .5 L of water, poured 10cm away from the soil sensor, beginning at 12:00 PM and repeated twice at 12:30 PM and 1:00 PM. Station 3 was given .1 L of water at 12:05 PM, and .1 L at both 12:35 PM and 1:0</w:t>
      </w:r>
      <w:r>
        <w:t>5 PM.</w:t>
      </w:r>
    </w:p>
    <w:p w14:paraId="59C7E178" w14:textId="77777777" w:rsidR="00797FDB" w:rsidRDefault="00797FDB" w:rsidP="00797FDB">
      <w:pPr>
        <w:pStyle w:val="BodyText"/>
        <w:spacing w:line="276" w:lineRule="auto"/>
        <w:jc w:val="both"/>
      </w:pPr>
      <w:r>
        <w:t>Air temperature at the field site was 20 °C.</w:t>
      </w:r>
    </w:p>
    <w:p w14:paraId="2EF07511" w14:textId="77777777" w:rsidR="00797FDB" w:rsidRDefault="00797FDB" w:rsidP="00797FDB">
      <w:pPr>
        <w:pStyle w:val="BodyText"/>
        <w:spacing w:line="276" w:lineRule="auto"/>
        <w:jc w:val="both"/>
      </w:pPr>
    </w:p>
    <w:p w14:paraId="30D1C86D" w14:textId="77777777" w:rsidR="00D81689" w:rsidRDefault="00AF0FA3" w:rsidP="00797FDB">
      <w:pPr>
        <w:pStyle w:val="CaptionedFigure"/>
        <w:spacing w:line="276" w:lineRule="auto"/>
        <w:jc w:val="both"/>
      </w:pPr>
      <w:r>
        <w:rPr>
          <w:noProof/>
        </w:rPr>
        <w:drawing>
          <wp:inline distT="0" distB="0" distL="0" distR="0" wp14:anchorId="58A24432" wp14:editId="641F0F00">
            <wp:extent cx="5943600" cy="3447288"/>
            <wp:effectExtent l="0" t="0" r="0" b="0"/>
            <wp:docPr id="4" name="Picture" descr="Figure 4. Experiment Flow Diagram"/>
            <wp:cNvGraphicFramePr/>
            <a:graphic xmlns:a="http://schemas.openxmlformats.org/drawingml/2006/main">
              <a:graphicData uri="http://schemas.openxmlformats.org/drawingml/2006/picture">
                <pic:pic xmlns:pic="http://schemas.openxmlformats.org/drawingml/2006/picture">
                  <pic:nvPicPr>
                    <pic:cNvPr id="0" name="Picture" descr="lab2_analysis_files/figure-docx/Fig4_experimental-design-chart-1.png"/>
                    <pic:cNvPicPr>
                      <a:picLocks noChangeAspect="1" noChangeArrowheads="1"/>
                    </pic:cNvPicPr>
                  </pic:nvPicPr>
                  <pic:blipFill>
                    <a:blip r:embed="rId10"/>
                    <a:stretch>
                      <a:fillRect/>
                    </a:stretch>
                  </pic:blipFill>
                  <pic:spPr bwMode="auto">
                    <a:xfrm>
                      <a:off x="0" y="0"/>
                      <a:ext cx="5943600" cy="3447288"/>
                    </a:xfrm>
                    <a:prstGeom prst="rect">
                      <a:avLst/>
                    </a:prstGeom>
                    <a:noFill/>
                    <a:ln w="9525">
                      <a:noFill/>
                      <a:headEnd/>
                      <a:tailEnd/>
                    </a:ln>
                  </pic:spPr>
                </pic:pic>
              </a:graphicData>
            </a:graphic>
          </wp:inline>
        </w:drawing>
      </w:r>
    </w:p>
    <w:p w14:paraId="7B02CD18" w14:textId="77777777" w:rsidR="00D81689" w:rsidRDefault="00AF0FA3" w:rsidP="00797FDB">
      <w:pPr>
        <w:pStyle w:val="ImageCaption"/>
        <w:spacing w:line="276" w:lineRule="auto"/>
        <w:jc w:val="both"/>
      </w:pPr>
      <w:r>
        <w:t>Figure 4. Experiment Flow Diagram</w:t>
      </w:r>
    </w:p>
    <w:p w14:paraId="35830735" w14:textId="77777777" w:rsidR="00D81689" w:rsidRDefault="00AF0FA3" w:rsidP="00797FDB">
      <w:pPr>
        <w:pStyle w:val="Heading1"/>
        <w:spacing w:line="276" w:lineRule="auto"/>
        <w:jc w:val="both"/>
      </w:pPr>
      <w:bookmarkStart w:id="2" w:name="results"/>
      <w:bookmarkEnd w:id="1"/>
      <w:r>
        <w:lastRenderedPageBreak/>
        <w:t>Results</w:t>
      </w:r>
    </w:p>
    <w:p w14:paraId="7EB84EE5" w14:textId="77777777" w:rsidR="00D81689" w:rsidRDefault="00AF0FA3" w:rsidP="00797FDB">
      <w:pPr>
        <w:pStyle w:val="CaptionedFigure"/>
        <w:spacing w:line="276" w:lineRule="auto"/>
        <w:jc w:val="both"/>
      </w:pPr>
      <w:r>
        <w:rPr>
          <w:noProof/>
        </w:rPr>
        <w:drawing>
          <wp:inline distT="0" distB="0" distL="0" distR="0" wp14:anchorId="168F4EDD" wp14:editId="12D1424A">
            <wp:extent cx="5544151" cy="3878981"/>
            <wp:effectExtent l="0" t="0" r="0" b="0"/>
            <wp:docPr id="5" name="Picture" descr="Figure 5. Raw probe values over time"/>
            <wp:cNvGraphicFramePr/>
            <a:graphic xmlns:a="http://schemas.openxmlformats.org/drawingml/2006/main">
              <a:graphicData uri="http://schemas.openxmlformats.org/drawingml/2006/picture">
                <pic:pic xmlns:pic="http://schemas.openxmlformats.org/drawingml/2006/picture">
                  <pic:nvPicPr>
                    <pic:cNvPr id="0" name="Picture" descr="lab2_analysis_files/figure-docx/fig5_plot_raw_values-1.png"/>
                    <pic:cNvPicPr>
                      <a:picLocks noChangeAspect="1" noChangeArrowheads="1"/>
                    </pic:cNvPicPr>
                  </pic:nvPicPr>
                  <pic:blipFill>
                    <a:blip r:embed="rId11"/>
                    <a:stretch>
                      <a:fillRect/>
                    </a:stretch>
                  </pic:blipFill>
                  <pic:spPr bwMode="auto">
                    <a:xfrm>
                      <a:off x="0" y="0"/>
                      <a:ext cx="5544151" cy="3878981"/>
                    </a:xfrm>
                    <a:prstGeom prst="rect">
                      <a:avLst/>
                    </a:prstGeom>
                    <a:noFill/>
                    <a:ln w="9525">
                      <a:noFill/>
                      <a:headEnd/>
                      <a:tailEnd/>
                    </a:ln>
                  </pic:spPr>
                </pic:pic>
              </a:graphicData>
            </a:graphic>
          </wp:inline>
        </w:drawing>
      </w:r>
    </w:p>
    <w:p w14:paraId="7FB7B4CD" w14:textId="77777777" w:rsidR="00D81689" w:rsidRDefault="00AF0FA3" w:rsidP="00797FDB">
      <w:pPr>
        <w:pStyle w:val="ImageCaption"/>
        <w:spacing w:line="276" w:lineRule="auto"/>
        <w:jc w:val="both"/>
      </w:pPr>
      <w:r>
        <w:t>Figure 5. Raw probe values over time</w:t>
      </w:r>
    </w:p>
    <w:p w14:paraId="45A0285D" w14:textId="77777777" w:rsidR="00D81689" w:rsidRDefault="00AF0FA3" w:rsidP="00797FDB">
      <w:pPr>
        <w:pStyle w:val="BodyText"/>
        <w:spacing w:line="276" w:lineRule="auto"/>
        <w:jc w:val="both"/>
      </w:pPr>
      <w:r>
        <w:t>Raw values for the sensors are shown in Figure 5. Volumentric Water Content (VWC) increased rapidly immediately following the applications of water, then fell off unti</w:t>
      </w:r>
      <w:r>
        <w:t>l the next application. Bulk electrical conductivity (EC) followed a similar pattern. Soil temperature, measured in °C, exhibited a different pattern. At Station 2 (0.1L treatment), soil temperature fell for the first measurement period, rose for the secon</w:t>
      </w:r>
      <w:r>
        <w:t>d, then declined for the third. Station 3 (0.5 L treatment) showed steady values for mostly level values for the first period, then rose for the second and fell for the third time period.</w:t>
      </w:r>
    </w:p>
    <w:p w14:paraId="78133C80" w14:textId="77777777" w:rsidR="00D81689" w:rsidRDefault="00AF0FA3" w:rsidP="00797FDB">
      <w:pPr>
        <w:pStyle w:val="CaptionedFigure"/>
        <w:spacing w:line="276" w:lineRule="auto"/>
        <w:jc w:val="both"/>
      </w:pPr>
      <w:r>
        <w:rPr>
          <w:noProof/>
        </w:rPr>
        <w:lastRenderedPageBreak/>
        <w:drawing>
          <wp:inline distT="0" distB="0" distL="0" distR="0" wp14:anchorId="00E8C7BC" wp14:editId="7D432945">
            <wp:extent cx="5544151" cy="3878981"/>
            <wp:effectExtent l="0" t="0" r="0" b="0"/>
            <wp:docPr id="6" name="Picture" descr="Figure 6. Mean values and standard deviation for each time period"/>
            <wp:cNvGraphicFramePr/>
            <a:graphic xmlns:a="http://schemas.openxmlformats.org/drawingml/2006/main">
              <a:graphicData uri="http://schemas.openxmlformats.org/drawingml/2006/picture">
                <pic:pic xmlns:pic="http://schemas.openxmlformats.org/drawingml/2006/picture">
                  <pic:nvPicPr>
                    <pic:cNvPr id="0" name="Picture" descr="lab2_analysis_files/figure-docx/fig6_plot_mean_values-1.png"/>
                    <pic:cNvPicPr>
                      <a:picLocks noChangeAspect="1" noChangeArrowheads="1"/>
                    </pic:cNvPicPr>
                  </pic:nvPicPr>
                  <pic:blipFill>
                    <a:blip r:embed="rId12"/>
                    <a:stretch>
                      <a:fillRect/>
                    </a:stretch>
                  </pic:blipFill>
                  <pic:spPr bwMode="auto">
                    <a:xfrm>
                      <a:off x="0" y="0"/>
                      <a:ext cx="5544151" cy="3878981"/>
                    </a:xfrm>
                    <a:prstGeom prst="rect">
                      <a:avLst/>
                    </a:prstGeom>
                    <a:noFill/>
                    <a:ln w="9525">
                      <a:noFill/>
                      <a:headEnd/>
                      <a:tailEnd/>
                    </a:ln>
                  </pic:spPr>
                </pic:pic>
              </a:graphicData>
            </a:graphic>
          </wp:inline>
        </w:drawing>
      </w:r>
    </w:p>
    <w:p w14:paraId="1504E0B5" w14:textId="77777777" w:rsidR="00D81689" w:rsidRDefault="00AF0FA3" w:rsidP="00797FDB">
      <w:pPr>
        <w:pStyle w:val="ImageCaption"/>
        <w:spacing w:line="276" w:lineRule="auto"/>
        <w:jc w:val="both"/>
      </w:pPr>
      <w:r>
        <w:t>Figure 6. Mean values and standard deviation for each time period</w:t>
      </w:r>
    </w:p>
    <w:p w14:paraId="772D29EF" w14:textId="77777777" w:rsidR="00D81689" w:rsidRDefault="00AF0FA3" w:rsidP="00797FDB">
      <w:pPr>
        <w:pStyle w:val="Heading1"/>
        <w:spacing w:line="276" w:lineRule="auto"/>
        <w:jc w:val="both"/>
      </w:pPr>
      <w:bookmarkStart w:id="3" w:name="data-analysis-and-conclusions"/>
      <w:bookmarkEnd w:id="2"/>
      <w:r>
        <w:t>Data Analysis and Conclusions</w:t>
      </w:r>
    </w:p>
    <w:p w14:paraId="1AAEC025" w14:textId="77777777" w:rsidR="00D81689" w:rsidRDefault="00AF0FA3" w:rsidP="00797FDB">
      <w:pPr>
        <w:pStyle w:val="FirstParagraph"/>
        <w:spacing w:line="276" w:lineRule="auto"/>
        <w:jc w:val="both"/>
      </w:pPr>
      <w:r>
        <w:t>VWC and EC data showed an immediate increase following the water treatment. After ea</w:t>
      </w:r>
      <w:r>
        <w:t>ch treatment, the values decreased in an exponential decay that ended roughly in line with the previous period’s peak. This indicates that the rate of soil drainage is much slower than the rate of water application. A one-way ANOVA was conducted to compare</w:t>
      </w:r>
      <w:r>
        <w:t xml:space="preserve"> the measured values by period and water treatment levels. There was not a significant difference in VWC by water treatment (p = 0.106), but values were significantly different for each period (p &lt; 0.001).</w:t>
      </w:r>
    </w:p>
    <w:p w14:paraId="3D0E0AE8" w14:textId="77777777" w:rsidR="00D81689" w:rsidRDefault="00AF0FA3" w:rsidP="00797FDB">
      <w:pPr>
        <w:pStyle w:val="BodyText"/>
        <w:spacing w:line="276" w:lineRule="auto"/>
        <w:jc w:val="both"/>
      </w:pPr>
      <w:r>
        <w:t>EC values were significantly different across both water treatment (p &lt; 0.001) and period (p &lt; 0.001). Soil temperature was also significantly different across both water treatment (p &lt; 0.001) and period (p &lt; 0.001).</w:t>
      </w:r>
    </w:p>
    <w:p w14:paraId="5EC53A59" w14:textId="77777777" w:rsidR="00D81689" w:rsidRDefault="00AF0FA3" w:rsidP="00797FDB">
      <w:pPr>
        <w:pStyle w:val="BodyText"/>
        <w:spacing w:line="276" w:lineRule="auto"/>
        <w:jc w:val="both"/>
      </w:pPr>
      <w:r>
        <w:t>Soil temperature values were not consis</w:t>
      </w:r>
      <w:r>
        <w:t>tent with any single factor and did not change consistently over time or between water treatment levels. It is likely that the probes were not given enough time to reach the soil temperature before treatments began. The water for treatments was kept in a b</w:t>
      </w:r>
      <w:r>
        <w:t>ucket above ground in direct sunlight, although the field site was breezy and only 20°C.</w:t>
      </w:r>
    </w:p>
    <w:p w14:paraId="4F5C60E4" w14:textId="77777777" w:rsidR="00D81689" w:rsidRDefault="00AF0FA3" w:rsidP="00797FDB">
      <w:pPr>
        <w:pStyle w:val="BodyText"/>
        <w:spacing w:line="276" w:lineRule="auto"/>
        <w:jc w:val="both"/>
      </w:pPr>
      <w:r>
        <w:t>All of these factors are highly dependent on site-specific variables such as cloud coverage, canopy shade, air temperature, recent rainfall, soil drainage, and slope o</w:t>
      </w:r>
      <w:r>
        <w:t>f the field site.</w:t>
      </w:r>
    </w:p>
    <w:p w14:paraId="25FDEEA2" w14:textId="77777777" w:rsidR="00D81689" w:rsidRDefault="00AF0FA3" w:rsidP="00797FDB">
      <w:pPr>
        <w:pStyle w:val="Heading1"/>
        <w:spacing w:line="276" w:lineRule="auto"/>
        <w:jc w:val="both"/>
      </w:pPr>
      <w:bookmarkStart w:id="4" w:name="references"/>
      <w:bookmarkEnd w:id="3"/>
      <w:r>
        <w:lastRenderedPageBreak/>
        <w:t>References</w:t>
      </w:r>
    </w:p>
    <w:p w14:paraId="19B89498" w14:textId="77777777" w:rsidR="00D81689" w:rsidRDefault="00AF0FA3" w:rsidP="00797FDB">
      <w:pPr>
        <w:pStyle w:val="FirstParagraph"/>
        <w:spacing w:line="276" w:lineRule="auto"/>
        <w:jc w:val="both"/>
      </w:pPr>
      <w:r>
        <w:t xml:space="preserve">[1] “CS-655 Water Content Reflectometers.” Campbell Scientific, Feb. 2018. [Online]. Available: </w:t>
      </w:r>
      <w:hyperlink r:id="rId13">
        <w:r>
          <w:rPr>
            <w:rStyle w:val="Hyperlink"/>
          </w:rPr>
          <w:t>https://s.campbellsci.com/documents/es/manuals/cs650.pd</w:t>
        </w:r>
        <w:r>
          <w:rPr>
            <w:rStyle w:val="Hyperlink"/>
          </w:rPr>
          <w:t>f</w:t>
        </w:r>
      </w:hyperlink>
    </w:p>
    <w:p w14:paraId="59295998" w14:textId="77777777" w:rsidR="00D81689" w:rsidRDefault="00AF0FA3" w:rsidP="00797FDB">
      <w:pPr>
        <w:pStyle w:val="BodyText"/>
        <w:spacing w:line="276" w:lineRule="auto"/>
        <w:jc w:val="both"/>
      </w:pPr>
      <w:r>
        <w:t xml:space="preserve">[2] “CR300 Series Compact Datalogger.” Campbell Scientific, Jul. 2021. [Online]. Available: </w:t>
      </w:r>
      <w:hyperlink r:id="rId14">
        <w:r>
          <w:rPr>
            <w:rStyle w:val="Hyperlink"/>
          </w:rPr>
          <w:t>https://s.campbellsci.com/documents/us/manuals/cr300.pdf</w:t>
        </w:r>
      </w:hyperlink>
    </w:p>
    <w:p w14:paraId="225EF5E9" w14:textId="77777777" w:rsidR="00D81689" w:rsidRDefault="00AF0FA3" w:rsidP="00797FDB">
      <w:pPr>
        <w:pStyle w:val="BodyText"/>
        <w:spacing w:line="276" w:lineRule="auto"/>
        <w:jc w:val="both"/>
      </w:pPr>
      <w:r>
        <w:t>[3] “RF407-Series Spread Spec</w:t>
      </w:r>
      <w:r>
        <w:t xml:space="preserve">trum Radios.” Campbell Scientific, Dec. 2019 [Online]. Available: </w:t>
      </w:r>
      <w:hyperlink r:id="rId15">
        <w:r>
          <w:rPr>
            <w:rStyle w:val="Hyperlink"/>
          </w:rPr>
          <w:t>https://s.campbellsci.com/documents/us/manuals/rf407-series.pdf</w:t>
        </w:r>
      </w:hyperlink>
      <w:bookmarkEnd w:id="4"/>
    </w:p>
    <w:sectPr w:rsidR="00D81689">
      <w:foot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BBB30A" w14:textId="77777777" w:rsidR="00AF0FA3" w:rsidRDefault="00AF0FA3">
      <w:pPr>
        <w:spacing w:after="0"/>
      </w:pPr>
      <w:r>
        <w:separator/>
      </w:r>
    </w:p>
  </w:endnote>
  <w:endnote w:type="continuationSeparator" w:id="0">
    <w:p w14:paraId="26BBEE88" w14:textId="77777777" w:rsidR="00AF0FA3" w:rsidRDefault="00AF0F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15832643"/>
      <w:docPartObj>
        <w:docPartGallery w:val="Page Numbers (Bottom of Page)"/>
        <w:docPartUnique/>
      </w:docPartObj>
    </w:sdtPr>
    <w:sdtEndPr>
      <w:rPr>
        <w:noProof/>
      </w:rPr>
    </w:sdtEndPr>
    <w:sdtContent>
      <w:p w14:paraId="2F4DC8BD" w14:textId="5F25FADC" w:rsidR="00797FDB" w:rsidRDefault="00797F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363046" w14:textId="77777777" w:rsidR="00797FDB" w:rsidRDefault="00797F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031582" w14:textId="77777777" w:rsidR="00AF0FA3" w:rsidRDefault="00AF0FA3">
      <w:r>
        <w:separator/>
      </w:r>
    </w:p>
  </w:footnote>
  <w:footnote w:type="continuationSeparator" w:id="0">
    <w:p w14:paraId="2D177860" w14:textId="77777777" w:rsidR="00AF0FA3" w:rsidRDefault="00AF0F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FE4903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610BA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34832A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262C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CC4E2F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214B33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BDE5F0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692663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0FB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7960D5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FDA8ABE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797FDB"/>
    <w:rsid w:val="008D6863"/>
    <w:rsid w:val="00AF0FA3"/>
    <w:rsid w:val="00B86B75"/>
    <w:rsid w:val="00BC48D5"/>
    <w:rsid w:val="00C36279"/>
    <w:rsid w:val="00D8168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554AE"/>
  <w15:docId w15:val="{574B82BA-19F1-46A1-BF00-3D7BD060D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D84EE7"/>
    <w:pPr>
      <w:keepNext/>
      <w:keepLines/>
      <w:spacing w:before="480" w:after="0"/>
      <w:outlineLvl w:val="0"/>
    </w:pPr>
    <w:rPr>
      <w:rFonts w:ascii="Arial" w:eastAsiaTheme="majorEastAsia" w:hAnsi="Arial" w:cstheme="majorBidi"/>
      <w:b/>
      <w:bCs/>
      <w:color w:val="4F81BD" w:themeColor="accent1"/>
      <w:sz w:val="28"/>
      <w:szCs w:val="32"/>
    </w:rPr>
  </w:style>
  <w:style w:type="paragraph" w:styleId="Heading2">
    <w:name w:val="heading 2"/>
    <w:basedOn w:val="Normal"/>
    <w:next w:val="BodyText"/>
    <w:uiPriority w:val="9"/>
    <w:unhideWhenUsed/>
    <w:qFormat/>
    <w:rsid w:val="00D84EE7"/>
    <w:pPr>
      <w:keepNext/>
      <w:keepLines/>
      <w:spacing w:before="200" w:after="0"/>
      <w:outlineLvl w:val="1"/>
    </w:pPr>
    <w:rPr>
      <w:rFonts w:ascii="Arial" w:eastAsiaTheme="majorEastAsia" w:hAnsi="Arial" w:cstheme="majorBidi"/>
      <w:b/>
      <w:bCs/>
      <w:color w:val="4F81BD" w:themeColor="accent1"/>
      <w:sz w:val="22"/>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71137"/>
    <w:pPr>
      <w:spacing w:before="180" w:after="180"/>
    </w:pPr>
    <w:rPr>
      <w:rFonts w:ascii="Arial" w:hAnsi="Arial"/>
      <w:sz w:val="22"/>
    </w:rPr>
  </w:style>
  <w:style w:type="paragraph" w:customStyle="1" w:styleId="FirstParagraph">
    <w:name w:val="First Paragraph"/>
    <w:basedOn w:val="BodyText"/>
    <w:next w:val="BodyText"/>
    <w:qFormat/>
    <w:rsid w:val="00E71137"/>
  </w:style>
  <w:style w:type="paragraph" w:customStyle="1" w:styleId="Compact">
    <w:name w:val="Compact"/>
    <w:basedOn w:val="BodyText"/>
    <w:qFormat/>
    <w:pPr>
      <w:spacing w:before="36" w:after="36"/>
    </w:pPr>
  </w:style>
  <w:style w:type="paragraph" w:styleId="Title">
    <w:name w:val="Title"/>
    <w:basedOn w:val="Normal"/>
    <w:next w:val="BodyText"/>
    <w:qFormat/>
    <w:rsid w:val="00E71137"/>
    <w:pPr>
      <w:keepNext/>
      <w:keepLines/>
      <w:spacing w:before="480" w:after="240"/>
      <w:jc w:val="center"/>
    </w:pPr>
    <w:rPr>
      <w:rFonts w:ascii="Arial" w:eastAsiaTheme="majorEastAsia" w:hAnsi="Arial" w:cstheme="majorBidi"/>
      <w:b/>
      <w:bCs/>
      <w:color w:val="345A8A" w:themeColor="accent1" w:themeShade="B5"/>
      <w:sz w:val="2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E71137"/>
    <w:pPr>
      <w:keepNext/>
      <w:keepLines/>
      <w:jc w:val="center"/>
    </w:pPr>
    <w:rPr>
      <w:rFonts w:ascii="Arial" w:hAnsi="Arial"/>
      <w:sz w:val="22"/>
    </w:rPr>
  </w:style>
  <w:style w:type="paragraph" w:styleId="Date">
    <w:name w:val="Date"/>
    <w:next w:val="BodyText"/>
    <w:qFormat/>
    <w:rsid w:val="00E71137"/>
    <w:pPr>
      <w:keepNext/>
      <w:keepLines/>
      <w:jc w:val="center"/>
    </w:pPr>
    <w:rPr>
      <w:rFonts w:ascii="Arial" w:hAnsi="Arial"/>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ableofFigures">
    <w:name w:val="table of figures"/>
    <w:basedOn w:val="Normal"/>
    <w:next w:val="Normal"/>
    <w:unhideWhenUsed/>
    <w:rsid w:val="00E71137"/>
    <w:pPr>
      <w:spacing w:after="0"/>
    </w:pPr>
  </w:style>
  <w:style w:type="character" w:customStyle="1" w:styleId="BodyTextChar">
    <w:name w:val="Body Text Char"/>
    <w:basedOn w:val="DefaultParagraphFont"/>
    <w:link w:val="BodyText"/>
    <w:rsid w:val="00E71137"/>
    <w:rPr>
      <w:rFonts w:ascii="Arial" w:hAnsi="Arial"/>
      <w:sz w:val="22"/>
    </w:rPr>
  </w:style>
  <w:style w:type="paragraph" w:styleId="Header">
    <w:name w:val="header"/>
    <w:basedOn w:val="Normal"/>
    <w:link w:val="HeaderChar"/>
    <w:unhideWhenUsed/>
    <w:rsid w:val="00797FDB"/>
    <w:pPr>
      <w:tabs>
        <w:tab w:val="center" w:pos="4680"/>
        <w:tab w:val="right" w:pos="9360"/>
      </w:tabs>
      <w:spacing w:after="0"/>
    </w:pPr>
  </w:style>
  <w:style w:type="character" w:customStyle="1" w:styleId="HeaderChar">
    <w:name w:val="Header Char"/>
    <w:basedOn w:val="DefaultParagraphFont"/>
    <w:link w:val="Header"/>
    <w:rsid w:val="00797FDB"/>
  </w:style>
  <w:style w:type="paragraph" w:styleId="Footer">
    <w:name w:val="footer"/>
    <w:basedOn w:val="Normal"/>
    <w:link w:val="FooterChar"/>
    <w:uiPriority w:val="99"/>
    <w:unhideWhenUsed/>
    <w:rsid w:val="00797FDB"/>
    <w:pPr>
      <w:tabs>
        <w:tab w:val="center" w:pos="4680"/>
        <w:tab w:val="right" w:pos="9360"/>
      </w:tabs>
      <w:spacing w:after="0"/>
    </w:pPr>
  </w:style>
  <w:style w:type="character" w:customStyle="1" w:styleId="FooterChar">
    <w:name w:val="Footer Char"/>
    <w:basedOn w:val="DefaultParagraphFont"/>
    <w:link w:val="Footer"/>
    <w:uiPriority w:val="99"/>
    <w:rsid w:val="00797F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campbellsci.com/documents/es/manuals/cs650.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s.campbellsci.com/documents/us/manuals/rf407-series.pdf"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campbellsci.com/documents/us/manuals/cr30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768</Words>
  <Characters>4379</Characters>
  <Application>Microsoft Office Word</Application>
  <DocSecurity>0</DocSecurity>
  <Lines>36</Lines>
  <Paragraphs>10</Paragraphs>
  <ScaleCrop>false</ScaleCrop>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Integration of CR310 Data Logger with soil sensors and RF data logger for experimentation and wireless data acquisition</dc:title>
  <dc:creator>Magnus Wood</dc:creator>
  <cp:keywords/>
  <cp:lastModifiedBy>Wood, Magnus</cp:lastModifiedBy>
  <cp:revision>2</cp:revision>
  <dcterms:created xsi:type="dcterms:W3CDTF">2021-09-26T21:50:00Z</dcterms:created>
  <dcterms:modified xsi:type="dcterms:W3CDTF">2021-09-26T21:50:00Z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date">
    <vt:lpwstr>September 20, 2021</vt:lpwstr>
  </property>
  <property fmtid="{D5CDD505-2E9C-101B-9397-08002B2CF9AE}" pid="4" name="output">
    <vt:lpwstr/>
  </property>
</Properties>
</file>