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现代投资组合理论中指数构建、多资产配置与人工智能整合的深度解析</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在过去的十年中，资产管理行业经历了深刻的结构性转型，现代投资组合理论（MPT）的实际应用已从传统的市值加权静态配置，迅速演变为结合因子轮动、动态多资产架构、基于效用的个性化下滑轨道（Glide Paths）以及前沿人工智能（AI）协议的复杂系统。与此同时，活跃型交易所交易基金（Active ETFs）与基金中基金（Fund of Funds, FOF）结构的爆炸性增长，迫使全球监管机构对其底层规则进行了全面重构。这种由数据驱动的量化范式与严格的监管要求相互交织，彻底改变了机构和零售资本的分配方式。本报告旨在全面、详尽地剖析驱动现代指数构建、多资产FOF优化、目标日期基金（TDF）基准设定以及人工智能深度强化学习应用的数学、结构与监管力学。</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传统宽基与风格指数构建的结构与数学基础</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基准指数的构建不仅需要反映市场的真实表现，还必须满足严格的流动性、可投资性和可复制性要求。从广泛的市场基准到精细的风格因子指数，指数提供商制定了极其复杂的算法规则，以确保资金在进行被动跟踪或主动轮动时能够最小化摩擦成本。</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宽基市场指数的流动性与市值分层机制</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以晨星（Morningstar）美国市场扩展指数（US Market Extended Index）为例，该指数旨在覆盖美国可投资股票市场中市值前99.5%的公司，为准确的业绩基准测试和高效的投资组合构建提供基础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。在确定符合条件的初始证券池（仅限于普通股、房地产投资信托基金REITs和追踪股票）后，指数构建算法会执行严格的独立过滤程序。</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流动性是首要考量因素。符合条件的证券必须在流动性得分上排名前75%。该流动性得分的计算方法是：将过去六个月的平均月度交易量排名与过去六个月中交易量最低的两个月的总交易量排名进行平均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。此外，为了确保指数的权重仅反映真正可交易的资本，指数必须进行自由流通量（Free Float）调整。自由流通量被定义为发行在外的股份减去持股比例达到或超过5%的大宗所有权区块，且每只证券的自由流通量比例必须至少达到10%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。任何形式的美国存托凭证（除非无其他股权上市）、固定股息股票、可转换债券或有限合伙企业均被严格排除在外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在市值分层方面，公司按市值降序排列，以确定大型股（前70%）、中型股（70%至90%）和小型股扩展（90%至99.5%）的断点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。为了在指数定期重组（Reconstitution）期间降低投资组合的换手率和相关的交易成本，晨星在这些断点周围设置了缓冲带（Buffers）。例如，大型/中型股断点采用 </w:t>
      </w:r>
      <w:r w:rsidDel="00000000" w:rsidR="00000000" w:rsidRPr="00000000">
        <w:rPr>
          <w:rFonts w:ascii="Google Sans" w:cs="Google Sans" w:eastAsia="Google Sans" w:hAnsi="Google Sans"/>
          <w:color w:val="1f1f1f"/>
        </w:rPr>
        <w:drawing>
          <wp:inline distB="19050" distT="19050" distL="19050" distR="19050">
            <wp:extent cx="532805" cy="21883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2805"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的缓冲，而小型股扩展边界则采用 </w:t>
      </w:r>
      <w:r w:rsidDel="00000000" w:rsidR="00000000" w:rsidRPr="00000000">
        <w:rPr>
          <w:rFonts w:ascii="Google Sans" w:cs="Google Sans" w:eastAsia="Google Sans" w:hAnsi="Google Sans"/>
          <w:color w:val="1f1f1f"/>
        </w:rPr>
        <w:drawing>
          <wp:inline distB="19050" distT="19050" distL="19050" distR="19050">
            <wp:extent cx="625078" cy="217830"/>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5078" cy="217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的缓冲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指数分层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目标累计市值覆盖率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算法断点缓冲规则（Buffer Rules）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大型股 (Large-Cap)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 - 70%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2805" cy="218830"/>
                  <wp:effectExtent b="0" l="0" r="0" t="0"/>
                  <wp:docPr id="2"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2805"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缓冲带，防止临界股票频繁进出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中型股 (Mid-Cap)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- 90%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32805" cy="218830"/>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32805" cy="218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缓冲带，维持中型股敞口稳定性</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小型扩展股 (Small-Cap Extended)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- 99.5%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625078" cy="217830"/>
                  <wp:effectExtent b="0" l="0" r="0" t="0"/>
                  <wp:docPr id="4"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5078" cy="2178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缓冲带，控制微型股尾部风险</w:t>
            </w:r>
          </w:p>
        </w:tc>
      </w:tr>
    </w:tbl>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复杂的缓冲与自由流通量调整机制，确保了追踪该指数的被动ETF和FOF产品在季度再平衡时，不会因为微小的市值波动而被迫进行大规模的非理性交易。在国际指数层面，类似的深度排查同样存在。例如，全球宏观指数会评估市场的金融深度（即该国股票市场规模与国内生产总值的比率），并直接剔除排在后20%的国家；同时还会将外国投资者的资金汇出便利度、实时市场数据的准确性等纳入国家纳入标准（Country Inclusion Criteria）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风格指数的估值算法与集中度封顶规则</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在宽基指数的基础上，风格指数（Style Indexes）引入了更深层次的财务数据解析。晨星的美国风格指数系列通过评估股票的预期收益与价格比率（Earnings-to-Price, </w:t>
      </w:r>
      <w:r w:rsidDel="00000000" w:rsidR="00000000" w:rsidRPr="00000000">
        <w:rPr>
          <w:rFonts w:ascii="Google Sans" w:cs="Google Sans" w:eastAsia="Google Sans" w:hAnsi="Google Sans"/>
          <w:color w:val="1f1f1f"/>
        </w:rPr>
        <w:drawing>
          <wp:inline distB="19050" distT="19050" distL="19050" distR="19050">
            <wp:extent cx="383084" cy="229850"/>
            <wp:effectExtent b="0" l="0" r="0" t="0"/>
            <wp:docPr id="7"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3084" cy="229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）相对于修剪均值（Trimmed Mean）的偏离程度，将股票严格划分为价值（Value）、成长（Growth）和混合（Blend）三大阵营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其算法逻辑如下：系统首先计算大型股池中每只股票的 </w:t>
      </w:r>
      <w:r w:rsidDel="00000000" w:rsidR="00000000" w:rsidRPr="00000000">
        <w:rPr>
          <w:rFonts w:ascii="Google Sans" w:cs="Google Sans" w:eastAsia="Google Sans" w:hAnsi="Google Sans"/>
          <w:color w:val="1f1f1f"/>
        </w:rPr>
        <w:drawing>
          <wp:inline distB="19050" distT="19050" distL="19050" distR="19050">
            <wp:extent cx="344835" cy="22989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4835" cy="229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（预期市盈率的倒数）与修剪均值的比率。如果某只股票的 </w:t>
      </w:r>
      <w:r w:rsidDel="00000000" w:rsidR="00000000" w:rsidRPr="00000000">
        <w:rPr>
          <w:rFonts w:ascii="Google Sans" w:cs="Google Sans" w:eastAsia="Google Sans" w:hAnsi="Google Sans"/>
          <w:color w:val="1f1f1f"/>
        </w:rPr>
        <w:drawing>
          <wp:inline distB="19050" distT="19050" distL="19050" distR="19050">
            <wp:extent cx="344835" cy="229890"/>
            <wp:effectExtent b="0" l="0" r="0" t="0"/>
            <wp:docPr id="9"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44835" cy="2298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小于或等于修剪均值的0.75倍，它将被分配到低 </w:t>
      </w:r>
      <w:r w:rsidDel="00000000" w:rsidR="00000000" w:rsidRPr="00000000">
        <w:rPr>
          <w:rFonts w:ascii="Google Sans" w:cs="Google Sans" w:eastAsia="Google Sans" w:hAnsi="Google Sans"/>
          <w:color w:val="1f1f1f"/>
        </w:rPr>
        <w:drawing>
          <wp:inline distB="19050" distT="19050" distL="19050" distR="19050">
            <wp:extent cx="383084" cy="229850"/>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3084" cy="229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桶（即强劲的成长特征）；如果比率小于或等于修剪均值的1.25倍（上限截止值），则被分配到中加（Mid-plus） </w:t>
      </w:r>
      <w:r w:rsidDel="00000000" w:rsidR="00000000" w:rsidRPr="00000000">
        <w:rPr>
          <w:rFonts w:ascii="Google Sans" w:cs="Google Sans" w:eastAsia="Google Sans" w:hAnsi="Google Sans"/>
          <w:color w:val="1f1f1f"/>
        </w:rPr>
        <w:drawing>
          <wp:inline distB="19050" distT="19050" distL="19050" distR="19050">
            <wp:extent cx="383084" cy="22985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3084" cy="2298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桶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。股票在纯价值、纯成长和混合区域的整个自由流通市值将被分配到相应的指数中。为了防范单一风格因子带来的极端集中风险，此类指数强制实施“4-20-20”封顶规则，以符合美国国税局（IRS）的多元化要求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类似地，在主题类ETF和FOF中，例如追踪道琼斯美国精选医疗设备指数（Dow Jones U.S. Select Medical Equipment Index）的iShares产品，其指数构建不仅要求成分股具有至少5亿美元的自由流通市值（现有成分股为2.5亿美元），还强制应用集中度封顶：单一证券的权重上限被严格限制在22.5%，同时所有权重等于或大于4.5%的股票，其总权重加和不得超过指数的45%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。这种双重上限机制在道琼斯美国房屋建设指数（Dow Jones U.S. Select Home Construction Index）中也得到了应用，同时该指数还要求企业在建筑材料、家居装饰等领域的收入必须主要来源于住宅房屋建设，并且对特定子行业的总权重施加了35%的绝对上限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追踪波动率：ETF复制效率的数学量化</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对于追踪上述复杂指数的ETF和FOF而言，准确评估其追踪效率是至关重要的。传统的追踪误差（Tracking Error）计算往往会受到二级市场ETF价格与净资产收益率（NAV）之间流动性溢价或折价的干扰。为此，晨星开发了“追踪波动率”（Tracking Volatility）这一高级数学指标，专门用于隔离ETF投资组合经理追踪基准指数的实际能力，剔除市场流动性带来的混杂噪声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追踪波动率的计算采用极大似然估计（Maximum Likelihood Estimation），在移动平均（MA(1)）回归框架内进行拟合。具体而言，假设 </w:t>
      </w:r>
      <w:r w:rsidDel="00000000" w:rsidR="00000000" w:rsidRPr="00000000">
        <w:rPr>
          <w:rFonts w:ascii="Google Sans" w:cs="Google Sans" w:eastAsia="Google Sans" w:hAnsi="Google Sans"/>
          <w:color w:val="1f1f1f"/>
        </w:rPr>
        <w:drawing>
          <wp:inline distB="19050" distT="19050" distL="19050" distR="19050">
            <wp:extent cx="290661" cy="225028"/>
            <wp:effectExtent b="0" l="0" r="0" t="0"/>
            <wp:docPr id="10"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0661"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为特定ETF在 </w:t>
      </w:r>
      <w:r w:rsidDel="00000000" w:rsidR="00000000" w:rsidRPr="00000000">
        <w:rPr>
          <w:rFonts w:ascii="Google Sans" w:cs="Google Sans" w:eastAsia="Google Sans" w:hAnsi="Google Sans"/>
          <w:color w:val="1f1f1f"/>
        </w:rPr>
        <w:drawing>
          <wp:inline distB="19050" distT="19050" distL="19050" distR="19050">
            <wp:extent cx="63698" cy="218395"/>
            <wp:effectExtent b="0" l="0" r="0" t="0"/>
            <wp:docPr id="1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698" cy="218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个交易日前的NAV回报率，而 </w:t>
      </w:r>
      <w:r w:rsidDel="00000000" w:rsidR="00000000" w:rsidRPr="00000000">
        <w:rPr>
          <w:rFonts w:ascii="Google Sans" w:cs="Google Sans" w:eastAsia="Google Sans" w:hAnsi="Google Sans"/>
          <w:color w:val="1f1f1f"/>
        </w:rPr>
        <w:drawing>
          <wp:inline distB="19050" distT="19050" distL="19050" distR="19050">
            <wp:extent cx="277416" cy="229585"/>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7416" cy="22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为对应基准指数的回报率。系统会提取250个交易日的日回报率，将其转化为小数形式。随后，将 </w:t>
      </w:r>
      <w:r w:rsidDel="00000000" w:rsidR="00000000" w:rsidRPr="00000000">
        <w:rPr>
          <w:rFonts w:ascii="Google Sans" w:cs="Google Sans" w:eastAsia="Google Sans" w:hAnsi="Google Sans"/>
          <w:color w:val="1f1f1f"/>
        </w:rPr>
        <w:drawing>
          <wp:inline distB="19050" distT="19050" distL="19050" distR="19050">
            <wp:extent cx="277416" cy="229585"/>
            <wp:effectExtent b="0" l="0" r="0" t="0"/>
            <wp:docPr id="1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77416" cy="2295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作为解释变量代入对 </w:t>
      </w:r>
      <w:r w:rsidDel="00000000" w:rsidR="00000000" w:rsidRPr="00000000">
        <w:rPr>
          <w:rFonts w:ascii="Google Sans" w:cs="Google Sans" w:eastAsia="Google Sans" w:hAnsi="Google Sans"/>
          <w:color w:val="1f1f1f"/>
        </w:rPr>
        <w:drawing>
          <wp:inline distB="19050" distT="19050" distL="19050" distR="19050">
            <wp:extent cx="290661" cy="225028"/>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0661" cy="225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拟合的MA(1)回归模型中。该统计模型特别包含了一个滞后误差项（Lagged Error Term），以解决因债券或外国股票市场休市、时区差异而导致的“过时价格”（Stale Prices）现象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。这种滞后处理能有效防止虚假的每日价格差异扭曲固定收益和国际股票ETF的追踪效率评估，从而真实反映投资组合在扣除管理费后的结构性复制保真度。</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智能贝塔与因子轮动：克服静态风险溢价的局限</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尽管风格指数和因子投资（Factor Investing）在过去十年中获得了巨大成功，但学术界和业界逐渐认识到静态因子敞口的严重局限性。研究表明，虽然动量（Momentum）被认为是最具吸引力的风险溢价因子之一，但理论回测结果与实际交易结果之间存在巨大的业绩鸿沟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。导致这种滞后的主要原因在于高昂的换手成本、缺乏明确的卖出纪律以及动量衰竭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此外，因子的表现具有极强的周期性。例如，动量因子往往在价值因子表现不佳时跑赢大盘，反之亦然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。在极端的市场动荡期，固守单一的静态智能贝塔（Smart Beta）策略往往会导致巨大的回撤。为了解决这一问题，现代指数构建开始转向基于规则的动态因子轮动（Factor Rotation）策略。</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交替因子策略的算法实现</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Pacer Lunt大型股交替ETF（ALTL）所追踪的Lunt Capital美国大型股股票轮动指数（Lunt Capital U.S. Large Cap Equity Rotation Index），是动态因子轮动理论的经典实践案例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。该策略不仅没有将资产在多个因子之间进行平均分配，反而采用了一种高度集中的相对强度信号（Relative Strength Signal）机制。</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该算法在每月月底进行重新评估，并在两个截然相反的子指数之间进行100%的资产切换：标准普尔500低波动率指数（S&amp;P 500 Low Volatility Index）和标准普尔500高贝塔指数（S&amp;P 500 High Beta Index）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轮动因子目标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定义特征与市场逻辑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相对强度信号触发条件</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高贝塔 (High Beta)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包含对整体市场回报变化最敏感的股票。在牛市或风险偏好上升（Risk-On）的环境中提供最大的上行弹性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当风险调整后的价格动量显示高贝塔股票的相对强度超越低波动率股票时，模型将100%权重轮动至此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低波动率 (Low Volatility)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包含价格波动率低于整体市场平均水平的股票。在市场震荡或收缩期（Risk-Off）发挥资本保全作用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当市场防御性情绪升温，低波动率资产的相对动量反超高贝塔资产时，系统全仓切换以规避回撤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非多元化（Non-diversified）的交替策略承认了一个事实：高贝塔和低波动率因子在历史上都曾表现出阶段性的优异表现，但它们同时存在是相互抵消的。通过量化规则在两者之间进行机械切换，该指数试图在捕获两个因子的上涨周期的同时，系统性地规避其下跌周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。这种方法的有效性依赖于严格遵守月度暴露规则，且不掺杂任何主观管理判断。</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与此同时，宽基指数本身也在进行现代化改造以适应更加精确的因子分割。例如，历史悠久的Wilshire 5000指数在重塑为FT Wilshire 5000指数系列时，彻底放弃了基于证券数量的固定断点（Count-based Breakpoints），转而采用基于自由流通市值的百分比断点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。由于大型科技公司的集中度不断上升且上市公司总数下降，固定数量的规模划分（例如前500名、后2000名）已经严重扭曲了大小盘的表现视图。改用百分比覆盖（如FT Wilshire 2500覆盖98%的市值并剔除微型股）确保了规模定义在时间维度上的相关性和准确性，使机构投资者能够更精确地实施因子偏好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目标日期基金（TDF）：共识基准与效用优化的理论博弈</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目标日期基金（Target Date Funds, TDFs）已成为美国固定收益养老金计划（如401k）中压倒性的合格默认投资替代品（QDIA）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。TDF的核心机制是下滑轨道（Glide Path），即随着投资者接近目标退休年份，资产配置系统性地从高风险的股票向低风险的固定收益资产转移。然而，在如何设计这条下滑轨道，以及如何衡量其表现的问题上，行业内存在着两种截然不同、甚至相互对立的方法论：一种是基于全行业调查的共识基准（Consensus Benchmark），另一种是基于经济学和行为金融学的效用优化模型（Utility Optimization Model）。</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共识基准的方法论与指数选择偏差（Index Selection Bias）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行业中最广泛使用的TDF业绩比较基准是标准普尔目标日期指数系列（S&amp;P Target Date Index Series）。该指数系列采用的是一种纯经验性、基于调查（Survey-Based）的构建方法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。标普道琼斯指数公司每年会对资产规模超过1亿美元的大型TDF发起人进行全面调查，提取其公开文件（如SEC Form N-Q）中的持仓数据，以推导出每个特定退休年份（Vintage）的全行业平均资产配置比例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处理各大基金公司配置策略之间的巨大离散性，标普的算法引入了严格的分位数修剪机制。对于每一个目标日期同行群体，如果某项资产类别的原始配置比例低于第10个百分位数或高于第90个百分位数，算法会将其直接替换为对应的第10或第90个百分位数的值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这种温缩法（Winsorization）在不减少调查数据点数量的前提下，有效缓解了极端异常值（Outliers）的影响。在完成修剪后，对于现有成分，均值至少为0.5%的资产，以及对于新成分，均值至少为1.5%的资产，将被按比例调整，使其总权重相加达到100%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。该机制还进一步将基金划分为“到达”（TO）和“贯穿”（THROUGH）两种风格指数，以反映不同的退休后去风险策略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然而，这种基于共识的方法论在学术界和投资顾问（如Callan）中引发了强烈的批评。首先，这是一种循环逻辑谬误（Circular Logic Fallacy）：将一只基金的表现与它所在群体的统计平均值进行比较，本质上是在衡量该基金是否随大流，而不是衡量其下滑轨道是否真正为投资者带来了最优的结果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更严重的问题在于“指数选择偏差”（Index Selection Bias）。Callan的研究指出，标普（可以理解地）在其目标日期指数中强制使用自身的标普系列指数来代表所有底层资产类别，即使市场上存在更被公认的“行业标准”指数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资产类别敞口</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标普TDF基准所选用的底层指数</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行业普遍公认的标准基准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12个月业绩偏离度 (基点)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美国大型股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S&amp;P 500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Russell 1000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175 bps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新兴市场股票</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S&amp;P BME Emerging Markets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MSCI Emerging Markets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315 bps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核心固定收益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S&amp;P U.S. Aggregate Bond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Bloomberg U.S. Aggregate Bond Index</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106 bps</w:t>
            </w:r>
          </w:p>
        </w:tc>
      </w:tr>
    </w:tbl>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注：数据反映了特定时间窗口内，由于底层指数选择不同而导致的基准表现巨大差异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这种细微的指数选择差异对TDF的排名产生了超乎想象的影响。Callan在保持标普共识资产配置权重不变的情况下，将底层指数替换为行业标准指数，结果发现12个年份的TDF平均业绩差异高达117个基点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。这种偏差导致了严重的误导：一只TDF可能仅仅因为其底层指数与标普系列存在追踪差异，就在同行排名中从第16个百分位数暴跌至第41个百分位数，这掩盖了其实际下滑轨道设计的优劣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此外，在2020年3月的市场崩盘压力测试中，基于共识的远期目标日期基金（如2045-2060年）暴露出了超过80%的实际股票风险敞口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。尽管这符合长期下滑轨道原则，但如此高的系统性集中度促使行业重新思考风险管理的本质。</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先锋生命周期投资模型（VLCM）：走向个性化效用最大化</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与追逐行业共识的标普指数不同，先锋领航（Vanguard）等机构开创了基于数学优化的量化框架，即先锋生命周期投资模型（Vanguard Life-Cycle Investing Model, VLCM）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。VLCM完全摒弃了同行调查，转而使用专有的效用函数（Utility-based Framework）来构建个性化下滑轨道（Personalized Glide Paths, PGPs），其核心目标是：在考虑资产收益不确定性的情况下，最大化投资者生命周期内消费和财富的预期效用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VLCM的优化逻辑建立在四个维度的数据输入之上，并深度融合了行为金融学（Behavioral Finance）理论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投资者个人情况（Investor Circumstances）</w:t>
      </w:r>
      <w:r w:rsidDel="00000000" w:rsidR="00000000" w:rsidRPr="00000000">
        <w:rPr>
          <w:rFonts w:ascii="Google Sans" w:cs="Google Sans" w:eastAsia="Google Sans" w:hAnsi="Google Sans"/>
          <w:color w:val="1f1f1f"/>
          <w:rtl w:val="0"/>
        </w:rPr>
        <w:t xml:space="preserve">：包括当前年龄、计划退休年龄、初始资本、储蓄率、以及外部现金流（如社会保障或固定收益养老金DB Plans）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理性偏好（Rational Preferences）</w:t>
      </w:r>
      <w:r w:rsidDel="00000000" w:rsidR="00000000" w:rsidRPr="00000000">
        <w:rPr>
          <w:rFonts w:ascii="Google Sans" w:cs="Google Sans" w:eastAsia="Google Sans" w:hAnsi="Google Sans"/>
          <w:color w:val="1f1f1f"/>
          <w:rtl w:val="0"/>
        </w:rPr>
        <w:t xml:space="preserve">：包括绝对风险厌恶系数，以及对消费时间的偏好（Intertemporal Elasticity of Substitution）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行为偏好（Behavioral Preferences）</w:t>
      </w:r>
      <w:r w:rsidDel="00000000" w:rsidR="00000000" w:rsidRPr="00000000">
        <w:rPr>
          <w:rFonts w:ascii="Google Sans" w:cs="Google Sans" w:eastAsia="Google Sans" w:hAnsi="Google Sans"/>
          <w:color w:val="1f1f1f"/>
          <w:rtl w:val="0"/>
        </w:rPr>
        <w:t xml:space="preserve">：这是模型最具革命性的部分。VLCM引入了“短视损失厌恶”（Myopic Loss Aversion）和“收入短缺厌恶”（Income Shortfall Aversion）。在数学模型中，如果模拟的未来收入低于某个心理底线（如基本生活标准），效用函数将出现明显的“扭结”（Kink），对这种失败给予极其严厉的负面权重惩罚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资产收益预测（Asset Return Projections）</w:t>
      </w:r>
      <w:r w:rsidDel="00000000" w:rsidR="00000000" w:rsidRPr="00000000">
        <w:rPr>
          <w:rFonts w:ascii="Google Sans" w:cs="Google Sans" w:eastAsia="Google Sans" w:hAnsi="Google Sans"/>
          <w:color w:val="1f1f1f"/>
          <w:rtl w:val="0"/>
        </w:rPr>
        <w:t xml:space="preserve">：模型依赖于先锋资本市场模型（VCMM）生成的1万次蒙特卡洛模拟，涵盖国内外股票、通胀相关债券、大宗商品等各种资产类别的未来回报分布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在传统理论中，下滑轨道通常是一条简单的线性向下斜线，其依据是随着年龄增长，“人力资本”（Human Capital，即未来劳动收入的现值，在模型中被视为一种类似债券的无风险资产）不断减少，因此必须增加金融资本中的债券比例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。然而，VLCM的算法引擎表明，对于不同的个人，最优下滑轨道可能是平坦的、U型的甚至倒U型的。例如，一个拥有高额固定养老金收入和极高储蓄率的投资者，其晚年可能具备更高的风险承受能力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为了量化这种个性化定制带来的经济价值，VLCM计算了一个关键指标：确定性等效费用（Certainty Fee Equivalent, CFE）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。CFE以基点为单位，精确衡量了一个理性的投资者愿意支付多少额外的费用，以从一个次优的“货架式”共识基准下滑轨道，转换到经过VLCM优化的个性化轨道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。这种从“行业平均”向“个体效用最大化”的范式转变，代表了现代资产配置理论的最高阶演化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动态多资产架构与自动化投资组合管理</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在机构和高净值财富管理领域，多资产策略（Multi-Asset Strategies）正在通过更复杂的算法和低成本的ETF构建模块进行重组。这些策略不再依赖于基金经理的直觉，而是受控于严格的规则引擎和跨资产相关性模型。</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多资产指数的加权机制与动态再平衡</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彭博（Bloomberg）多资产指数系列为ETF FOF提供了基准设计的典范。该系列通过组合至少一个固定收益指数和一个股票指数来反映全球跨资产表现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。多资产指数的权重决定机制不仅限于经典的60/40固定配置（如Bloomberg Global EQ:FI 60:40 Index），还引入了复杂的风险平价（Risk Parity）算法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。在风险平价模型中，算法在每月最后一个工作日确定权重，其目标是提供对底层指数的等风险敞口。这里的“风险”被严格定义为1年期每日指数加权波动率（1-year daily exponentially weighted volatility），这意味着在高波动率时期，模型会自动去杠杆化并降低高风险资产的配置比例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同样，道富环球投资顾问（State Street）的战略多资产收入ETF投资组合（Strategic Multi-Asset Income ETF Portfolio），利用由130多名成员组成的投资解决方案小组（ISG）的专有长期收益、风险和相关性预测来构建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。该投资组合广泛配置于高股息股票、投资级固定收益、高收益债券、优先贷款（Bank Loans）、可转换债券和抵押REITs，以极低成本的ETF（如SPYD, SPHY, SRLN）作为底层构建模块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。道富不仅提供战略资产配置，还运用战术性资产配置（Tactical Asset Allocation）方法，结合定量和定性分析以反映动态市场环境的转变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。对于通胀对抗策略，如RLY ETF（基金中基金结构），其广泛投资于通胀挂钩债券、大宗商品和自然资源股票，提供了一种系统性的防御工具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延迟处理（Lag Handling）与合成过渡在指数计算中的应用</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FOF指数的计算中，一个常常被忽视但至关重要的数学难题是数据延迟（Latency）。由于FOF底层投资的是共同基金或ETF，其净值（NAV）的发布通常存在时间差。STOXX的iSTOXX基金指数系列方法论为处理这种延迟提供了一套无可挑剔的数学框架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在基于固定权重的iSTOXX Top Citywire Fund Managers NF指数的选股过程中，为了计算各共同基金的历史风险调整表现（如夏普比率），算法强制实施了长达10个指数发布日（Dissemination Days）的延迟（Lag）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。这种严格的延迟确保了公式中使用的NAV数据是绝对终局且不存在修订风险的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。相反，对于带有波动率控制（Volatility Control）机制的AR指数系列，用于动态调整杠杆率的已实现波动率，其滞后期被缩短为3个指数发布日，以保证对市场动荡的敏锐反应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在投资组合重组（Rebalancing）的执行层面，STOXX引入了“过渡期计算”（Composition Transition Period）。为了确保波动率计算完全基于新的投资组合权重，在重组日（</w:t>
      </w:r>
      <w:r w:rsidDel="00000000" w:rsidR="00000000" w:rsidRPr="00000000">
        <w:rPr>
          <w:rFonts w:ascii="Google Sans" w:cs="Google Sans" w:eastAsia="Google Sans" w:hAnsi="Google Sans"/>
          <w:color w:val="1f1f1f"/>
        </w:rPr>
        <w:drawing>
          <wp:inline distB="19050" distT="19050" distL="19050" distR="19050">
            <wp:extent cx="290513" cy="224913"/>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90513" cy="224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）之后的35天内，系统会计算一个假设的合成指数值（</w:t>
      </w:r>
      <w:r w:rsidDel="00000000" w:rsidR="00000000" w:rsidRPr="00000000">
        <w:rPr>
          <w:rFonts w:ascii="Google Sans" w:cs="Google Sans" w:eastAsia="Google Sans" w:hAnsi="Google Sans"/>
          <w:color w:val="1f1f1f"/>
        </w:rPr>
        <w:drawing>
          <wp:inline distB="19050" distT="19050" distL="19050" distR="19050">
            <wp:extent cx="307478" cy="230609"/>
            <wp:effectExtent b="0" l="0" r="0" t="0"/>
            <wp:docPr id="1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07478" cy="230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）。该值使用新的权重和相对于重组日前一天的NAV进行推算，从而避免历史权重的遗留数据污染新周期的风险测量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此外，此类可投资多资产指数必须将管理费用的拖累（Drag）内部化。指数公式被定义为：</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876"/>
            <wp:effectExtent b="0" l="0" r="0" t="0"/>
            <wp:docPr id="1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05500" cy="463876"/>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其中 </w:t>
      </w:r>
      <w:r w:rsidDel="00000000" w:rsidR="00000000" w:rsidRPr="00000000">
        <w:rPr>
          <w:rFonts w:ascii="Google Sans" w:cs="Google Sans" w:eastAsia="Google Sans" w:hAnsi="Google Sans"/>
          <w:color w:val="1f1f1f"/>
        </w:rPr>
        <w:drawing>
          <wp:inline distB="19050" distT="19050" distL="19050" distR="19050">
            <wp:extent cx="144214" cy="230743"/>
            <wp:effectExtent b="0" l="0" r="0" t="0"/>
            <wp:docPr id="19"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144214" cy="2307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为设定的年化费用率（如0.50%），而 </w:t>
      </w:r>
      <w:r w:rsidDel="00000000" w:rsidR="00000000" w:rsidRPr="00000000">
        <w:rPr>
          <w:rFonts w:ascii="Google Sans" w:cs="Google Sans" w:eastAsia="Google Sans" w:hAnsi="Google Sans"/>
          <w:color w:val="1f1f1f"/>
        </w:rPr>
        <w:drawing>
          <wp:inline distB="19050" distT="19050" distL="19050" distR="19050">
            <wp:extent cx="399603" cy="228345"/>
            <wp:effectExtent b="0" l="0" r="0" t="0"/>
            <wp:docPr id="2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99603"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为日历天数。这一公式确保了合成指数的每日价值精确反映了资产持有成本，为发行金融衍生品和ETF提供了完美的追踪标的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。如果在极端情况下，底层基金实施了赎回限制或高昂的退出费用，严重影响了指数的可复制性（Replicability），STOXX的维护协议允许以“等权重进出”（Weight in = Weight out）的方式迅速剔除并替换该资产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自动化智能投顾（Robo-Advisors）的算法差异</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多资产指数配置的终端零售化，主要由Wealthfront和Betterment等自动化智能投顾平台推动。虽然两者均收取0.25%的基础顾问费，但在底层算法与投资方法论上存在显著的结构性差异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Wealthfront的自动化投资账户（Automated Investing Account）跨越多达17个全球资产类别进行配置。其标志性技术是“直接指数化”（US Direct Indexing，原名股票级税损收割）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在这一结构下，算法绕过传统的宽基ETF封装，直接持有数百只基础股票成分。这种精细化的架构允许系统即使在整体市场上涨的环境中，也能持续扫描并卖出其中出现亏损的单只股票以抵扣税款，同时使用相关性极高的替代股票以维持投资组合的目标跟踪权重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。此外，Wealthfront还提供了风险平价（Risk Parity）和智能贝塔策略作为附加服务 </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相比之下，Betterment提供超过100种预定义的配置模型（包括100%债券到100%股票）。Betterment的核心算法优势在于其“税收协调投资组合”（Tax-Coordinated Portfolio），这是一种先进的资产定位（Asset Location）策略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。该算法将投资者分散在多个账户（如应税经纪账户、传统IRA、Roth IRA）中的资金视为一个单一的巨型投资组合进行统筹优化。系统会自动将税收效率较低、产生高收益的资产（如公司债券）分配到享有税收优惠的退休账户中，而将税收效率高的长期股票资本利得资产集中在应税账户中，从而从宏观上大幅提升税后复合收益率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活跃ETF与FOF架构的监管演变：SEC 12d1-4规则的深远影响</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随着投资组合策略的复杂化，ETF市场本身也发生了结构性倾斜。从前，ETF几乎是“被动追踪”的代名词；而如今，活跃管理型ETF（Active ETFs）正以前所未有的速度扩张。在2024年北美市场新发行的934只ETF中，高达78%属于活跃策略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。这种增长背后的驱动力是传统公募基金经理纷纷将老旧的共同基金转化为ETF外壳，以利用其潜在的税收效率、盘中流动性和透明度 </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。然而，当这些活跃ETF本身被用作基金中基金（FOF）的底层构件时，引发了全球监管体系的巨大反弹和重构。</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 12d1-4规则的法律框架与合规要求</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美国证券交易委员会（SEC）于2020年10月正式通过了Rule 12d1-4（即FOF规则），彻底改革了《1940年投资公司法》中关于基金投资其他基金的监管框架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。历史上，为了防止基金间的“过度影响”（Undue Influence）、管理费层层叠加（Fee Layering）以及过度复杂的多层嵌套结构，《1940年法案》第12(d)(1)(A)条对FOF设置了著名的“3/5/10限制”：即收购基金不得拥有被收购基金3%以上的已发行有表决权证券，对单一被收购基金的投资不得超过收购基金总资产的5%，对所有被收购基金的投资总额不得超过其总资产的10%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随着ETF市场的爆发，过去几十年来，各家基金公司依赖于SEC逐案批复的豁免令（Exemptive Orders）来突破这些限制，导致了极度不公平且碎片化的竞争环境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。Rule 12d1-4的出台废除了绝大多数旧的豁免令，为注册投资公司（RICs）和业务发展公司（BDCs）提供了一个统一的安全港，允许其在满足严格条件的情况下超越3/5/10限制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Rule 12d1-4的核心要求对现代指数和FOF构建产生了直接影响：</w:t>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强制性的投资协议（Investment Agreements）</w:t>
      </w:r>
      <w:r w:rsidDel="00000000" w:rsidR="00000000" w:rsidRPr="00000000">
        <w:rPr>
          <w:rFonts w:ascii="Google Sans" w:cs="Google Sans" w:eastAsia="Google Sans" w:hAnsi="Google Sans"/>
          <w:color w:val="1f1f1f"/>
          <w:rtl w:val="0"/>
        </w:rPr>
        <w:t xml:space="preserve">：SEC明确指出，即使收购基金未突破3%的表决权红线，只要其在5%或10%的限制上依赖于该规则，就必须在购买证券之前与被收购基金签订正式的FOF投资协议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。这一规定将评估“过度影响”的法律责任转移给了被收购基金的顾问（Adviser）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控制与镜像投票（Control and Mirror Voting）</w:t>
      </w:r>
      <w:r w:rsidDel="00000000" w:rsidR="00000000" w:rsidRPr="00000000">
        <w:rPr>
          <w:rFonts w:ascii="Google Sans" w:cs="Google Sans" w:eastAsia="Google Sans" w:hAnsi="Google Sans"/>
          <w:color w:val="1f1f1f"/>
          <w:rtl w:val="0"/>
        </w:rPr>
        <w:t xml:space="preserve">：收购基金及其顾问集团被绝对禁止控制被收购基金。如果收购方的持股比例因被收购方总股本的减少而被动超过25%（对于开放式基金或UIT）或10%（对于封闭式基金或BDC），则必须在股东大会上采取强制的镜像投票（Mirror Voting）机制，即按照其余所有股东的投票比例来行使自己的表决权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禁止三层嵌套结构（Complex Structure Prohibition）</w:t>
      </w:r>
      <w:r w:rsidDel="00000000" w:rsidR="00000000" w:rsidRPr="00000000">
        <w:rPr>
          <w:rFonts w:ascii="Google Sans" w:cs="Google Sans" w:eastAsia="Google Sans" w:hAnsi="Google Sans"/>
          <w:color w:val="1f1f1f"/>
          <w:rtl w:val="0"/>
        </w:rPr>
        <w:t xml:space="preserve">：这是对行业冲击最大的一条。新规则严格限制了过于复杂的多层基金网络。依赖旧版第12(d)(1)(G)条的被收购基金，将不再能够利用ETF的豁免令去购买高达25%的ETF份额；相反，所有被收购基金投资于其他基金的比例被死死限制在总资产的10%以内（除特定豁免外） </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。这迫使大量依赖多层ETF外壳实现宏观战术配置的FOF产品面临毁灭性的重组压力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CLO豁免澄清</w:t>
      </w:r>
      <w:r w:rsidDel="00000000" w:rsidR="00000000" w:rsidRPr="00000000">
        <w:rPr>
          <w:rFonts w:ascii="Google Sans" w:cs="Google Sans" w:eastAsia="Google Sans" w:hAnsi="Google Sans"/>
          <w:color w:val="1f1f1f"/>
          <w:rtl w:val="0"/>
        </w:rPr>
        <w:t xml:space="preserve">：SEC通过补充问答（FAQs）澄清，被收购基金无需将投资于抵押贷款债务凭证（CLOs）的债务证券计算在10%的限制之内，这为固定收益FOF提供了一定程度的喘息空间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虽然新规消除了旧有豁免系统的不公平性，但其繁重的合规程序、协议签订要求，以及对多层嵌套的扼杀，极大地增加了FOF运营的结构性成本，部分抵消了新规带来的理论效益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欧美ETF市场结构的断裂与效率差异</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与美国相比，欧洲的ETF和FOF市场呈现出截然不同的结构性图景。截至2025年4月，美国ETF市场的总资产管理规模（AUM）高达11.5万亿美元（占逾万亿大关），而欧洲市场仅约为2.6万亿美元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。这种鸿沟不仅仅是因为时间起点的差异（美国始于1993年，欧洲始于2000年），更是由于深刻的监管隔离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欧洲，ETF受制于UCITS（可转让证券集体投资计划）指令。UCITS对多元化和合格资产有着极其苛刻的要求。如果某个追踪实物大宗商品、数字加密资产或复杂衍生品的指数无法满足UCITS标准，它在欧洲只能被包装成交易所交易产品（ETPs）或结构性票据（Structured Notes），从而被彻底排除在官方ETF AUM统计之外；而在美国，此类产品往往可以直接享有ETF的法律地位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更关键的差异在于流动性获取机制（Liquidity Mechanisms）。美国ETF的交易价格和数据通过统一的综合报价系统（Consolidated Tape）实时传播，市场透明度极高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。而欧洲ETF市场高度碎片化，由机构投资者主导，这导致高达70%的ETF交易量发生在场外交易市场（Off-Exchange），例如多边交易设施（MTFs）、系统内部撮合商（SIs）以及场外询价（RFQ）平台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。这种场外主导的模式严重削弱了二级市场对散户的价格发现功能 </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尽管如此，学术界对欧美ETF的效率比较（Comparative Analysis）揭示了一个反直觉的结论。利用基于松弛方向的效率评估模型（Slack-based Measure）对两地追踪宽基蓝筹的ETF（如追踪Euro Stoxx 50的基金）进行比较，结果显示：虽然美国的有效ETF更频繁地被作为全球基准，但在那些被判定为“无效率”的ETF中，欧洲的无效率ETF往往比美国的同类产品表现得不那么糟糕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。研究进一步表明，随着投资期限的延长，美国ETF的效率与财务盈利因子（Profitability Factors）的关联度越来越高，而与短期风险指标的相关性减弱；但这一趋势在欧洲ETF中并未得到明确证实，欧洲ETF在长期的追踪误差（Tracking Error）控制上表现出极强的刚性，特别是在运用累积份额类别（Accumulating Share Classes）时，其TE可稳定控制在0.3%以下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人工智能与深度强化学习在资产配置中的前沿应用</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指数构建与多资产配置正迎来由人工智能（AI）和深度强化学习（DRL）驱动的范式转换。超越了传统的市值加权和静态因子筛选，下一代量化模型具备自主学习、处理海量非结构化数据以及在多维状态空间中优化非线性回报的能力。</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深度因子AI（Deep Factor AI）与大语言模型解释度</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标准普尔500 3AI行业轮动指数（S&amp;P 500 3AI Sector Rotator Index）的推出，标志着AI预测模型首次被系统性地嵌入全球顶级宽基指数的构建法则中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。该指数通过整合一家名为3AI的英国人工智能投资公司提供的阿尔法情报评分（Alpha Intelligence Scores），实现行业权重的动态超配 </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传统的因子投资策略仅限于少数几个经典的财务指标（如市盈率、市净率）。而3AI被定义为一个“阿尔法炼油厂”（Alpha Refinery），其深度因子AI系统每月摄取数以百万计的数据点——涵盖宏观经济指标、公司财报、新闻流、社交媒体情绪以及分析师研究——为全球超过20,000只上市股票，每只股票评估多达326个独立的因子维度 </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。该机器学习模型会在每次重新平衡时输出12个月的预期超额收益预测，指数据此机械地配置排名前三的标普500行业板块 </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长期以来，AI在金融领域最大的痛点是“黑盒”（Black Box）效应，即无法解释其预测的逻辑。为了解决这一合规与透明度危机，该系统搭载了专门构建的“可解释性大型语言模型”（Explainability LLM）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该LLM能够解析复杂的多维量化推理过程，将其翻译成人类分析师能够理解的研究报告，清晰地阐述出模型为什么超配某一行业，以及是哪几个特定的因子推高了其胜率。这种技术桥接了深度量化智能与直观逻辑叙事，代表了指数透明度的新纪元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深度强化学习（DRL）对马科维茨优化的超越</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在更广泛的FOF和多资产配置领域，深度强化学习（DRL）正在取代传统的马科维茨均值-方差优化（Markowitz Mean-Variance Optimization, MVO） </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。MVO的传统流程分为两个割裂的步骤：首先预测预期收益和协方差矩阵，然后求解二次规划问题以最小化既定收益下的风险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。由于金融市场固有的非平稳性，协方差矩阵极易失效，导致MVO产生极端的资产权重分配 </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相反，DRL将资产配置问题框架化为一个马尔可夫决策过程（Markov Decision Process, MDP），智能体（Agent）在与动态市场环境的交互中，通过试错直接学习最优策略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。前沿的学术实验广泛采用了近端策略优化（PPO）、柔性演员-评论家（SAC）和双延迟深度确定性策略梯度（TD3）等强化学习算法来管理包含股票、加密货币和宏观商品的混合投资组合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为了克服早期DRL模型过分追求原始高回报而忽视回撤的缺陷，研究人员开发了“基于因子的深度强化学习”（Factor-based DRL, FDRL）框架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。在该框架中，状态表示（State Representation）由动量、波动率和成交量信号的滚动回归生成；同时，奖励函数（Reward Design）被重塑为结合了因子的动态评估标准。</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DRL奖励函数（Reward Function）变体</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实证表现与资产类别适用性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算法控制结果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动态夏普（Dynamic-Sharpe）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适用于高β的股票投资组合。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将年化回报率从基准MVO的20%提升至24%，同时将夏普比率从1.04显著提升至1.27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动量索提诺（Momentum-Sortino）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适用于加密货币与跨资产混合组合。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捕获不对称上行潜力，累计回报率可超70%，显著跑赢等权重（Equal-weight）基准，但对极端回撤较为敏感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静态夏普（Static-Sharpe）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适用于固定收益与宏观对冲资产。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表现最为稳定，将整体波动率严控在8-9%之间，最大回撤压制在-18%以内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为了验证这些算法的鲁棒性，研究者应用了大量的统计检验，包括异方差与自相关一致性估计量（HAC）、Wilcoxon检验、Jackknife夏普估计以及移动块自助法（Moving-block Bootstrap），充分证明了DRL策略并非是在历史窗口中过度拟合（Overfitting），而是真正捕获了时变的因子风险溢价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人工智能应用的系统性风险与结构限制</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尽管AI与DRL展现了压倒性的技术优势，但其在现实投资组合中的部署仍面临严峻的结构性挑战。首要风险在于AI基础设施狂热导致的股票市场极度集中化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截至2026年，推动AI超级周期的“超大型科技公司”（Hyperscalers，如微软、亚马逊、谷歌、Meta）预计将投入超过3000亿美元的资本支出，这使得标普500指数中前10大公司的市值占比已经超过了骇人的40%（而1996年这一数字不足20%） </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。由于AI模型严重依赖近期数据的反馈回路，它们极易陷入“赢家通吃”（Winner-takes-all）的配置陷阱，将资本过度集中于这一小撮科技巨头，从而在不知不觉中承担了极高的相关性和系统性β风险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此外，从数据科学的底层原理来看，机器学习模型在处理建筑、工程以及金融等存在高度不确定性的动态系统时，其有效性完全受制于训练样本的代表性、平衡性以及数据的确定性（Data Certainty）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。金融市场是非稳态（Non-stationary）的，资产价格不仅受到内生周期的影响，还受到地缘政治摩擦、关税政策和中央银行利率路径等大量外生不可量化冲击的干扰 </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。在遇到前所未有的结构性断裂（Structural Breaks）时，那些在回测中表现完美的深度学习算法极易发生严重的模型退化（Model Degradation） </w:t>
      </w:r>
      <w:r w:rsidDel="00000000" w:rsidR="00000000" w:rsidRPr="00000000">
        <w:rPr>
          <w:rFonts w:ascii="Google Sans" w:cs="Google Sans" w:eastAsia="Google Sans" w:hAnsi="Google Sans"/>
          <w:color w:val="444746"/>
          <w:sz w:val="24"/>
          <w:szCs w:val="24"/>
          <w:vertAlign w:val="superscript"/>
          <w:rtl w:val="0"/>
        </w:rPr>
        <w:t xml:space="preserve">71</w:t>
      </w:r>
      <w:r w:rsidDel="00000000" w:rsidR="00000000" w:rsidRPr="00000000">
        <w:rPr>
          <w:rFonts w:ascii="Google Sans" w:cs="Google Sans" w:eastAsia="Google Sans" w:hAnsi="Google Sans"/>
          <w:color w:val="1f1f1f"/>
          <w:rtl w:val="0"/>
        </w:rPr>
        <w:t xml:space="preserve">。因此，在现代指数构建中，人工智能仍需作为辅助人类专业判断的增强工具，而非完全自主、无需干预的黑盒配置器 </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现代投资组合理论正处于一个空前的技术与规则交汇点。从指数构建的微观力学来看，市场已经彻底跨越了简单的市值加权时代。复杂的因子轮动机制、基于效用最大化的先锋生命周期投资模型（VLCM），以及由智能投顾驱动的多维度税收优化架构，已经取代了缺乏灵活性的静态共识基准。</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在宏观监管与产品结构方面，活跃ETF的主导地位正在重塑整个资产管理行业。SEC Rule 12d1-4等监管法令的实施，虽然在短期内增加了FOF结构的合规负担并粉碎了过度嵌套的资金池，但从长远来看，它为多资产指数化投资建立了一个更加透明、公平的安全港。相比之下，欧洲市场若要缩小与美国规模的巨大鸿沟，仍需在统一报价系统和场内流动性机制上进行深层次的市场微观结构改革。</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人工智能特别是基于深度因子的解释性LLM和因子化深度强化学习（FDRL），正在为捕捉非线性超额收益提供终极的算法武器。然而，鉴于当前由巨头资本支出主导的极端市场集中度以及数据不确定性的固有威胁，未来的指数设计和多资产管理，必须在算法的智能演进与审慎的极端尾部风险防范之间，寻找最微妙的数学平衡。</w:t>
      </w:r>
    </w:p>
    <w:p w:rsidR="00000000" w:rsidDel="00000000" w:rsidP="00000000" w:rsidRDefault="00000000" w:rsidRPr="00000000" w14:paraId="0000009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Rules for the Morningstar® US Market Extended Index, accessed April 20, 2026, </w:t>
      </w:r>
      <w:hyperlink r:id="rId18">
        <w:r w:rsidDel="00000000" w:rsidR="00000000" w:rsidRPr="00000000">
          <w:rPr>
            <w:rFonts w:ascii="Google Sans" w:cs="Google Sans" w:eastAsia="Google Sans" w:hAnsi="Google Sans"/>
            <w:color w:val="0000ee"/>
            <w:sz w:val="24"/>
            <w:szCs w:val="24"/>
            <w:u w:val="single"/>
            <w:rtl w:val="0"/>
          </w:rPr>
          <w:t xml:space="preserve">https://indexes.morningstar.com/api/docs/68c49fc3356bcfe668729f37</w:t>
        </w:r>
      </w:hyperlink>
      <w:r w:rsidDel="00000000" w:rsidR="00000000" w:rsidRPr="00000000">
        <w:rPr>
          <w:rtl w:val="0"/>
        </w:rPr>
      </w:r>
    </w:p>
    <w:p w:rsidR="00000000" w:rsidDel="00000000" w:rsidP="00000000" w:rsidRDefault="00000000" w:rsidRPr="00000000" w14:paraId="0000009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Rules for the Morningstar US Market Indexes, accessed April 20, 2026, </w:t>
      </w:r>
      <w:hyperlink r:id="rId19">
        <w:r w:rsidDel="00000000" w:rsidR="00000000" w:rsidRPr="00000000">
          <w:rPr>
            <w:rFonts w:ascii="Google Sans" w:cs="Google Sans" w:eastAsia="Google Sans" w:hAnsi="Google Sans"/>
            <w:color w:val="0000ee"/>
            <w:sz w:val="24"/>
            <w:szCs w:val="24"/>
            <w:u w:val="single"/>
            <w:rtl w:val="0"/>
          </w:rPr>
          <w:t xml:space="preserve">https://indexes.morningstar.com/api/docs/68e4925b33573d2f9d166999</w:t>
        </w:r>
      </w:hyperlink>
      <w:r w:rsidDel="00000000" w:rsidR="00000000" w:rsidRPr="00000000">
        <w:rPr>
          <w:rtl w:val="0"/>
        </w:rPr>
      </w:r>
    </w:p>
    <w:p w:rsidR="00000000" w:rsidDel="00000000" w:rsidP="00000000" w:rsidRDefault="00000000" w:rsidRPr="00000000" w14:paraId="0000009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Construction Rules for the Morningstar® US Style Indexes, accessed April 20, 2026, </w:t>
      </w:r>
      <w:hyperlink r:id="rId20">
        <w:r w:rsidDel="00000000" w:rsidR="00000000" w:rsidRPr="00000000">
          <w:rPr>
            <w:rFonts w:ascii="Google Sans" w:cs="Google Sans" w:eastAsia="Google Sans" w:hAnsi="Google Sans"/>
            <w:color w:val="0000ee"/>
            <w:sz w:val="24"/>
            <w:szCs w:val="24"/>
            <w:u w:val="single"/>
            <w:rtl w:val="0"/>
          </w:rPr>
          <w:t xml:space="preserve">https://indexes.morningstar.com/api/docs/683df64a3bb899657da3fcda</w:t>
        </w:r>
      </w:hyperlink>
      <w:r w:rsidDel="00000000" w:rsidR="00000000" w:rsidRPr="00000000">
        <w:rPr>
          <w:rtl w:val="0"/>
        </w:rPr>
      </w:r>
    </w:p>
    <w:p w:rsidR="00000000" w:rsidDel="00000000" w:rsidP="00000000" w:rsidRDefault="00000000" w:rsidRPr="00000000" w14:paraId="0000009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Sector &amp; sub-industry ETFs - iShares, accessed April 20, 2026, </w:t>
      </w:r>
      <w:hyperlink r:id="rId21">
        <w:r w:rsidDel="00000000" w:rsidR="00000000" w:rsidRPr="00000000">
          <w:rPr>
            <w:rFonts w:ascii="Google Sans" w:cs="Google Sans" w:eastAsia="Google Sans" w:hAnsi="Google Sans"/>
            <w:color w:val="0000ee"/>
            <w:sz w:val="24"/>
            <w:szCs w:val="24"/>
            <w:u w:val="single"/>
            <w:rtl w:val="0"/>
          </w:rPr>
          <w:t xml:space="preserve">https://www.ishares.com/us/literature/presentation/ishares-sector-and-industry-etfs.pdf</w:t>
        </w:r>
      </w:hyperlink>
      <w:r w:rsidDel="00000000" w:rsidR="00000000" w:rsidRPr="00000000">
        <w:rPr>
          <w:rtl w:val="0"/>
        </w:rPr>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ETF Analytics Methodology Paper Version 3.0 - Morningstar Direct, accessed April 20, 2026, </w:t>
      </w:r>
      <w:hyperlink r:id="rId22">
        <w:r w:rsidDel="00000000" w:rsidR="00000000" w:rsidRPr="00000000">
          <w:rPr>
            <w:rFonts w:ascii="Google Sans" w:cs="Google Sans" w:eastAsia="Google Sans" w:hAnsi="Google Sans"/>
            <w:color w:val="0000ee"/>
            <w:sz w:val="24"/>
            <w:szCs w:val="24"/>
            <w:u w:val="single"/>
            <w:rtl w:val="0"/>
          </w:rPr>
          <w:t xml:space="preserve">https://morningstardirect.morningstar.com/clientcomm/Morningstar_Advanced_ETF_Analytics_Methodology_3.0.pdf</w:t>
        </w:r>
      </w:hyperlink>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Exchange-Traded Funds and Index Mutual Funds - Morningstar, accessed April 20, 2026, </w:t>
      </w:r>
      <w:hyperlink r:id="rId23">
        <w:r w:rsidDel="00000000" w:rsidR="00000000" w:rsidRPr="00000000">
          <w:rPr>
            <w:rFonts w:ascii="Google Sans" w:cs="Google Sans" w:eastAsia="Google Sans" w:hAnsi="Google Sans"/>
            <w:color w:val="0000ee"/>
            <w:sz w:val="24"/>
            <w:szCs w:val="24"/>
            <w:u w:val="single"/>
            <w:rtl w:val="0"/>
          </w:rPr>
          <w:t xml:space="preserve">https://www.morningstar.com/content/dam/marketing/shared/research/methodology/780724_Morningstar_Analyst_Rating_for_ETFs_and_Index_Funds_Methodology.pdf</w:t>
        </w:r>
      </w:hyperlink>
      <w:r w:rsidDel="00000000" w:rsidR="00000000" w:rsidRPr="00000000">
        <w:rPr>
          <w:rtl w:val="0"/>
        </w:rPr>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Evaluating the true cost of momentum investing | Blog posts - STOXX, accessed April 20, 2026, </w:t>
      </w:r>
      <w:hyperlink r:id="rId24">
        <w:r w:rsidDel="00000000" w:rsidR="00000000" w:rsidRPr="00000000">
          <w:rPr>
            <w:rFonts w:ascii="Google Sans" w:cs="Google Sans" w:eastAsia="Google Sans" w:hAnsi="Google Sans"/>
            <w:color w:val="0000ee"/>
            <w:sz w:val="24"/>
            <w:szCs w:val="24"/>
            <w:u w:val="single"/>
            <w:rtl w:val="0"/>
          </w:rPr>
          <w:t xml:space="preserve">https://stoxx.com/evaluating-the-true-cost-of-momentum-investing/</w:t>
        </w:r>
      </w:hyperlink>
      <w:r w:rsidDel="00000000" w:rsidR="00000000" w:rsidRPr="00000000">
        <w:rPr>
          <w:rtl w:val="0"/>
        </w:rPr>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Pacer Lunt Large Cap Alternator ETF (ALTL) - AAII.com, accessed April 20, 2026, </w:t>
      </w:r>
      <w:hyperlink r:id="rId25">
        <w:r w:rsidDel="00000000" w:rsidR="00000000" w:rsidRPr="00000000">
          <w:rPr>
            <w:rFonts w:ascii="Google Sans" w:cs="Google Sans" w:eastAsia="Google Sans" w:hAnsi="Google Sans"/>
            <w:color w:val="0000ee"/>
            <w:sz w:val="24"/>
            <w:szCs w:val="24"/>
            <w:u w:val="single"/>
            <w:rtl w:val="0"/>
          </w:rPr>
          <w:t xml:space="preserve">https://www.aaii.com/etf/ticker/ALTL</w:t>
        </w:r>
      </w:hyperlink>
      <w:r w:rsidDel="00000000" w:rsidR="00000000" w:rsidRPr="00000000">
        <w:rPr>
          <w:rtl w:val="0"/>
        </w:rPr>
      </w:r>
    </w:p>
    <w:p w:rsidR="00000000" w:rsidDel="00000000" w:rsidP="00000000" w:rsidRDefault="00000000" w:rsidRPr="00000000" w14:paraId="0000009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ALTL - Pacer ETFs, accessed April 20, 2026, </w:t>
      </w:r>
      <w:hyperlink r:id="rId26">
        <w:r w:rsidDel="00000000" w:rsidR="00000000" w:rsidRPr="00000000">
          <w:rPr>
            <w:rFonts w:ascii="Google Sans" w:cs="Google Sans" w:eastAsia="Google Sans" w:hAnsi="Google Sans"/>
            <w:color w:val="0000ee"/>
            <w:sz w:val="24"/>
            <w:szCs w:val="24"/>
            <w:u w:val="single"/>
            <w:rtl w:val="0"/>
          </w:rPr>
          <w:t xml:space="preserve">https://www.paceretfs.com/products/ALTL</w:t>
        </w:r>
      </w:hyperlink>
      <w:r w:rsidDel="00000000" w:rsidR="00000000" w:rsidRPr="00000000">
        <w:rPr>
          <w:rtl w:val="0"/>
        </w:rPr>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Pacer Lunt Large Cap Alternator ETF | ALTL ETF Review - Picture Perfect Portfolios, accessed April 20, 2026, </w:t>
      </w:r>
      <w:hyperlink r:id="rId27">
        <w:r w:rsidDel="00000000" w:rsidR="00000000" w:rsidRPr="00000000">
          <w:rPr>
            <w:rFonts w:ascii="Google Sans" w:cs="Google Sans" w:eastAsia="Google Sans" w:hAnsi="Google Sans"/>
            <w:color w:val="0000ee"/>
            <w:sz w:val="24"/>
            <w:szCs w:val="24"/>
            <w:u w:val="single"/>
            <w:rtl w:val="0"/>
          </w:rPr>
          <w:t xml:space="preserve">https://pictureperfectportfolios.com/pacer-lunt-large-cap-alternator-etf-altl-review/</w:t>
        </w:r>
      </w:hyperlink>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Pacer Lunt Large Cap Alternator ETF Stock Price: Quote, Forecast, Splits &amp; News (ALTL), accessed April 20, 2026, </w:t>
      </w:r>
      <w:hyperlink r:id="rId28">
        <w:r w:rsidDel="00000000" w:rsidR="00000000" w:rsidRPr="00000000">
          <w:rPr>
            <w:rFonts w:ascii="Google Sans" w:cs="Google Sans" w:eastAsia="Google Sans" w:hAnsi="Google Sans"/>
            <w:color w:val="0000ee"/>
            <w:sz w:val="24"/>
            <w:szCs w:val="24"/>
            <w:u w:val="single"/>
            <w:rtl w:val="0"/>
          </w:rPr>
          <w:t xml:space="preserve">https://www.perplexity.ai/finance/ALTL?comparing=ALTL,INDS,KURE,ABEQ,SOVF,BUZZ</w:t>
        </w:r>
      </w:hyperlink>
      <w:r w:rsidDel="00000000" w:rsidR="00000000" w:rsidRPr="00000000">
        <w:rPr>
          <w:rtl w:val="0"/>
        </w:rPr>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Wilshire Brings to Market Third Generation Factor Index Series, accessed April 20, 2026, </w:t>
      </w:r>
      <w:hyperlink r:id="rId29">
        <w:r w:rsidDel="00000000" w:rsidR="00000000" w:rsidRPr="00000000">
          <w:rPr>
            <w:rFonts w:ascii="Google Sans" w:cs="Google Sans" w:eastAsia="Google Sans" w:hAnsi="Google Sans"/>
            <w:color w:val="0000ee"/>
            <w:sz w:val="24"/>
            <w:szCs w:val="24"/>
            <w:u w:val="single"/>
            <w:rtl w:val="0"/>
          </w:rPr>
          <w:t xml:space="preserve">https://www.wilshire.com/press-releases/wilshire-brings-to-market-third-generation-factor-index-series</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Wilshire Launches Enhanced FT Wilshire 5000 Index Series, accessed April 20, 2026, </w:t>
      </w:r>
      <w:hyperlink r:id="rId30">
        <w:r w:rsidDel="00000000" w:rsidR="00000000" w:rsidRPr="00000000">
          <w:rPr>
            <w:rFonts w:ascii="Google Sans" w:cs="Google Sans" w:eastAsia="Google Sans" w:hAnsi="Google Sans"/>
            <w:color w:val="0000ee"/>
            <w:sz w:val="24"/>
            <w:szCs w:val="24"/>
            <w:u w:val="single"/>
            <w:rtl w:val="0"/>
          </w:rPr>
          <w:t xml:space="preserve">https://www.wilshire.com/press-releases/wilshire-launches-enhanced-ft-wilshire-5000-index-series</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Episode 374: David C. Brown - The Underperformance of Target Date Funds, accessed April 20, 2026, </w:t>
      </w:r>
      <w:hyperlink r:id="rId31">
        <w:r w:rsidDel="00000000" w:rsidR="00000000" w:rsidRPr="00000000">
          <w:rPr>
            <w:rFonts w:ascii="Google Sans" w:cs="Google Sans" w:eastAsia="Google Sans" w:hAnsi="Google Sans"/>
            <w:color w:val="0000ee"/>
            <w:sz w:val="24"/>
            <w:szCs w:val="24"/>
            <w:u w:val="single"/>
            <w:rtl w:val="0"/>
          </w:rPr>
          <w:t xml:space="preserve">https://rationalreminder.ca/podcast/374</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Target Date Index Series Methodology, accessed April 20, 2026, </w:t>
      </w:r>
      <w:hyperlink r:id="rId32">
        <w:r w:rsidDel="00000000" w:rsidR="00000000" w:rsidRPr="00000000">
          <w:rPr>
            <w:rFonts w:ascii="Google Sans" w:cs="Google Sans" w:eastAsia="Google Sans" w:hAnsi="Google Sans"/>
            <w:color w:val="0000ee"/>
            <w:sz w:val="24"/>
            <w:szCs w:val="24"/>
            <w:u w:val="single"/>
            <w:rtl w:val="0"/>
          </w:rPr>
          <w:t xml:space="preserve">https://www.spglobal.com/spdji/en/documents/methodologies/methodology-sp-target-date.pdf</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Target Date Index Series, accessed April 20, 2026, </w:t>
      </w:r>
      <w:hyperlink r:id="rId33">
        <w:r w:rsidDel="00000000" w:rsidR="00000000" w:rsidRPr="00000000">
          <w:rPr>
            <w:rFonts w:ascii="Google Sans" w:cs="Google Sans" w:eastAsia="Google Sans" w:hAnsi="Google Sans"/>
            <w:color w:val="0000ee"/>
            <w:sz w:val="24"/>
            <w:szCs w:val="24"/>
            <w:u w:val="single"/>
            <w:rtl w:val="0"/>
          </w:rPr>
          <w:t xml:space="preserve">https://cdn.ymaws.com/dciia.org/resource/resmgr/rrc_media/projects_2023/SP_Target_Date_Series_-_Dece.pdf</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Dow Jones Indices: 2 Target Date Index Methodologies, accessed April 20, 2026, </w:t>
      </w:r>
      <w:hyperlink r:id="rId34">
        <w:r w:rsidDel="00000000" w:rsidR="00000000" w:rsidRPr="00000000">
          <w:rPr>
            <w:rFonts w:ascii="Google Sans" w:cs="Google Sans" w:eastAsia="Google Sans" w:hAnsi="Google Sans"/>
            <w:color w:val="0000ee"/>
            <w:sz w:val="24"/>
            <w:szCs w:val="24"/>
            <w:u w:val="single"/>
            <w:rtl w:val="0"/>
          </w:rPr>
          <w:t xml:space="preserve">https://www.dol.gov/sites/dolgov/files/EBSA/about-ebsa/about-us/erisa-advisory-council/2024-qdia-pollock-witness-statement-0910.pdf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Bill Munns has responded with a long waffling Rebuttal to capturing Bigfoot. : r/Cryptozoology - Reddit, accessed April 20, 2026, </w:t>
      </w:r>
      <w:hyperlink r:id="rId35">
        <w:r w:rsidDel="00000000" w:rsidR="00000000" w:rsidRPr="00000000">
          <w:rPr>
            <w:rFonts w:ascii="Google Sans" w:cs="Google Sans" w:eastAsia="Google Sans" w:hAnsi="Google Sans"/>
            <w:color w:val="0000ee"/>
            <w:sz w:val="24"/>
            <w:szCs w:val="24"/>
            <w:u w:val="single"/>
            <w:rtl w:val="0"/>
          </w:rPr>
          <w:t xml:space="preserve">https://www.reddit.com/r/Cryptozoology/comments/1sle2hc/bill_munns_has_responded_with_a_long_waffling/</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TDF Benchmarks in 2022: How Index Choices Affect Comparisons, accessed April 20, 2026, </w:t>
      </w:r>
      <w:hyperlink r:id="rId36">
        <w:r w:rsidDel="00000000" w:rsidR="00000000" w:rsidRPr="00000000">
          <w:rPr>
            <w:rFonts w:ascii="Google Sans" w:cs="Google Sans" w:eastAsia="Google Sans" w:hAnsi="Google Sans"/>
            <w:color w:val="0000ee"/>
            <w:sz w:val="24"/>
            <w:szCs w:val="24"/>
            <w:u w:val="single"/>
            <w:rtl w:val="0"/>
          </w:rPr>
          <w:t xml:space="preserve">https://www.callan.com/blog/tdf-benchmarks/</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Analysis of the Performance of Target Date Funds John B. Shoven and Daniel B. Walton Working Paper 27971 - NBER, accessed April 20, 2026, </w:t>
      </w:r>
      <w:hyperlink r:id="rId37">
        <w:r w:rsidDel="00000000" w:rsidR="00000000" w:rsidRPr="00000000">
          <w:rPr>
            <w:rFonts w:ascii="Google Sans" w:cs="Google Sans" w:eastAsia="Google Sans" w:hAnsi="Google Sans"/>
            <w:color w:val="0000ee"/>
            <w:sz w:val="24"/>
            <w:szCs w:val="24"/>
            <w:u w:val="single"/>
            <w:rtl w:val="0"/>
          </w:rPr>
          <w:t xml:space="preserve">https://www.nber.org/system/files/working_papers/w27971/w27971.pdf</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Vanguard's Life-Cycle Investing Model (VLCM): A general portfolio ..., accessed April 20, 2026, </w:t>
      </w:r>
      <w:hyperlink r:id="rId38">
        <w:r w:rsidDel="00000000" w:rsidR="00000000" w:rsidRPr="00000000">
          <w:rPr>
            <w:rFonts w:ascii="Google Sans" w:cs="Google Sans" w:eastAsia="Google Sans" w:hAnsi="Google Sans"/>
            <w:color w:val="0000ee"/>
            <w:sz w:val="24"/>
            <w:szCs w:val="24"/>
            <w:u w:val="single"/>
            <w:rtl w:val="0"/>
          </w:rPr>
          <w:t xml:space="preserve">https://corporate.vanguard.com/content/dam/corp/research/pdf/vanguard_life_cycle_investing_model_vlcm_a_general_portfolio_framework_for_goals_based_investing.pdf</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value of personalized advice - Vanguard Workplace Solutions, accessed April 20, 2026, </w:t>
      </w:r>
      <w:hyperlink r:id="rId39">
        <w:r w:rsidDel="00000000" w:rsidR="00000000" w:rsidRPr="00000000">
          <w:rPr>
            <w:rFonts w:ascii="Google Sans" w:cs="Google Sans" w:eastAsia="Google Sans" w:hAnsi="Google Sans"/>
            <w:color w:val="0000ee"/>
            <w:sz w:val="24"/>
            <w:szCs w:val="24"/>
            <w:u w:val="single"/>
            <w:rtl w:val="0"/>
          </w:rPr>
          <w:t xml:space="preserve">https://workplace.vanguard.com/content/dam/inst/iig-transformation/insights/pdf/2022/value-of-personalized-advice.pdf</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Vanguard's Life-Cycle Investing Model (VLCM): A general portfolio framework for goals-based investing, accessed April 20, 2026, </w:t>
      </w:r>
      <w:hyperlink r:id="rId40">
        <w:r w:rsidDel="00000000" w:rsidR="00000000" w:rsidRPr="00000000">
          <w:rPr>
            <w:rFonts w:ascii="Google Sans" w:cs="Google Sans" w:eastAsia="Google Sans" w:hAnsi="Google Sans"/>
            <w:color w:val="0000ee"/>
            <w:sz w:val="24"/>
            <w:szCs w:val="24"/>
            <w:u w:val="single"/>
            <w:rtl w:val="0"/>
          </w:rPr>
          <w:t xml:space="preserve">https://www.vanguardmexico.com/content/dam/intl/americas/documents/latam/en/sa-2123682-vanguards-life-cycle-investing-model-vlcm.pdf</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Vanguard's approach to target-date funds, accessed April 20, 2026, </w:t>
      </w:r>
      <w:hyperlink r:id="rId41">
        <w:r w:rsidDel="00000000" w:rsidR="00000000" w:rsidRPr="00000000">
          <w:rPr>
            <w:rFonts w:ascii="Google Sans" w:cs="Google Sans" w:eastAsia="Google Sans" w:hAnsi="Google Sans"/>
            <w:color w:val="0000ee"/>
            <w:sz w:val="24"/>
            <w:szCs w:val="24"/>
            <w:u w:val="single"/>
            <w:rtl w:val="0"/>
          </w:rPr>
          <w:t xml:space="preserve">https://corporate.vanguard.com/content/dam/corp/research/pdf/vanguards_approach_to_target_date_funds.pdf</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Vanguard's approach to target-date funds, accessed April 20, 2026, </w:t>
      </w:r>
      <w:hyperlink r:id="rId42">
        <w:r w:rsidDel="00000000" w:rsidR="00000000" w:rsidRPr="00000000">
          <w:rPr>
            <w:rFonts w:ascii="Google Sans" w:cs="Google Sans" w:eastAsia="Google Sans" w:hAnsi="Google Sans"/>
            <w:color w:val="0000ee"/>
            <w:sz w:val="24"/>
            <w:szCs w:val="24"/>
            <w:u w:val="single"/>
            <w:rtl w:val="0"/>
          </w:rPr>
          <w:t xml:space="preserve">https://workplace.vanguard.com/content/dam/inst/iig-transformation/insights/pdf/2022/Vanguards-approach-to-target-date-funds.pdf</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Target-date fund portfolio construction - Vanguard Workplace Solutions, accessed April 20, 2026, </w:t>
      </w:r>
      <w:hyperlink r:id="rId43">
        <w:r w:rsidDel="00000000" w:rsidR="00000000" w:rsidRPr="00000000">
          <w:rPr>
            <w:rFonts w:ascii="Google Sans" w:cs="Google Sans" w:eastAsia="Google Sans" w:hAnsi="Google Sans"/>
            <w:color w:val="0000ee"/>
            <w:sz w:val="24"/>
            <w:szCs w:val="24"/>
            <w:u w:val="single"/>
            <w:rtl w:val="0"/>
          </w:rPr>
          <w:t xml:space="preserve">https://workplace.vanguard.com/investment/strategies/tdf-construction.html</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Value of Personalized Glide Paths for Plan Participants - Vanguard, accessed April 20, 2026, </w:t>
      </w:r>
      <w:hyperlink r:id="rId44">
        <w:r w:rsidDel="00000000" w:rsidR="00000000" w:rsidRPr="00000000">
          <w:rPr>
            <w:rFonts w:ascii="Google Sans" w:cs="Google Sans" w:eastAsia="Google Sans" w:hAnsi="Google Sans"/>
            <w:color w:val="0000ee"/>
            <w:sz w:val="24"/>
            <w:szCs w:val="24"/>
            <w:u w:val="single"/>
            <w:rtl w:val="0"/>
          </w:rPr>
          <w:t xml:space="preserve">https://ownyourfuture.vanguard.com/content/en/advice-profile/resources/insights/value-of-personalized-glide-paths.html</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Trends Reshaping Investment Management in 2026 - SS&amp;C Advent, accessed April 20, 2026, </w:t>
      </w:r>
      <w:hyperlink r:id="rId45">
        <w:r w:rsidDel="00000000" w:rsidR="00000000" w:rsidRPr="00000000">
          <w:rPr>
            <w:rFonts w:ascii="Google Sans" w:cs="Google Sans" w:eastAsia="Google Sans" w:hAnsi="Google Sans"/>
            <w:color w:val="0000ee"/>
            <w:sz w:val="24"/>
            <w:szCs w:val="24"/>
            <w:u w:val="single"/>
            <w:rtl w:val="0"/>
          </w:rPr>
          <w:t xml:space="preserve">https://www.advent.com/news-and-insights/blog/5-trends-reshaping-investment-management-in-2026/</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 Multi-Asset Indices | Bloomberg Professional Services, accessed April 20, 2026, </w:t>
      </w:r>
      <w:hyperlink r:id="rId46">
        <w:r w:rsidDel="00000000" w:rsidR="00000000" w:rsidRPr="00000000">
          <w:rPr>
            <w:rFonts w:ascii="Google Sans" w:cs="Google Sans" w:eastAsia="Google Sans" w:hAnsi="Google Sans"/>
            <w:color w:val="0000ee"/>
            <w:sz w:val="24"/>
            <w:szCs w:val="24"/>
            <w:u w:val="single"/>
            <w:rtl w:val="0"/>
          </w:rPr>
          <w:t xml:space="preserve">https://www.bloomberg.com/professional/products/indices/multi-asset/</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Indices | Bloomberg Professional Services, accessed April 20, 2026, </w:t>
      </w:r>
      <w:hyperlink r:id="rId47">
        <w:r w:rsidDel="00000000" w:rsidR="00000000" w:rsidRPr="00000000">
          <w:rPr>
            <w:rFonts w:ascii="Google Sans" w:cs="Google Sans" w:eastAsia="Google Sans" w:hAnsi="Google Sans"/>
            <w:color w:val="0000ee"/>
            <w:sz w:val="24"/>
            <w:szCs w:val="24"/>
            <w:u w:val="single"/>
            <w:rtl w:val="0"/>
          </w:rPr>
          <w:t xml:space="preserve">https://www.bloomberg.com/professional/products/indices/</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Bloomberg US Multi Asset Indices, accessed April 20, 2026, </w:t>
      </w:r>
      <w:hyperlink r:id="rId48">
        <w:r w:rsidDel="00000000" w:rsidR="00000000" w:rsidRPr="00000000">
          <w:rPr>
            <w:rFonts w:ascii="Google Sans" w:cs="Google Sans" w:eastAsia="Google Sans" w:hAnsi="Google Sans"/>
            <w:color w:val="0000ee"/>
            <w:sz w:val="24"/>
            <w:szCs w:val="24"/>
            <w:u w:val="single"/>
            <w:rtl w:val="0"/>
          </w:rPr>
          <w:t xml:space="preserve">https://data.bloomberglp.com/professional/sites/10/Bloomberg-US-Multi-Asset-Index-Fact-Sheet.pdf</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State Street Strategic Multi-Asset Income ETF Portfolio, Dec2025, accessed April 20, 2026, </w:t>
      </w:r>
      <w:hyperlink r:id="rId49">
        <w:r w:rsidDel="00000000" w:rsidR="00000000" w:rsidRPr="00000000">
          <w:rPr>
            <w:rFonts w:ascii="Google Sans" w:cs="Google Sans" w:eastAsia="Google Sans" w:hAnsi="Google Sans"/>
            <w:color w:val="0000ee"/>
            <w:sz w:val="24"/>
            <w:szCs w:val="24"/>
            <w:u w:val="single"/>
            <w:rtl w:val="0"/>
          </w:rPr>
          <w:t xml:space="preserve">https://www.ssga.com/library-content/products/factsheets/model-portfolio/us/factsheet-us-en-210524150925_glblmkt.pdf</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 Street Strategic Multi-Asset Income ETF Portfolio, accessed April 20, 2026, </w:t>
      </w:r>
      <w:hyperlink r:id="rId50">
        <w:r w:rsidDel="00000000" w:rsidR="00000000" w:rsidRPr="00000000">
          <w:rPr>
            <w:rFonts w:ascii="Google Sans" w:cs="Google Sans" w:eastAsia="Google Sans" w:hAnsi="Google Sans"/>
            <w:color w:val="0000ee"/>
            <w:sz w:val="24"/>
            <w:szCs w:val="24"/>
            <w:u w:val="single"/>
            <w:rtl w:val="0"/>
          </w:rPr>
          <w:t xml:space="preserve">https://www.ssga.com/us/en/intermediary/model-portfolio/state-street-strategic-multi-asset-income-etf-portfolio-210524150925_glblmkt</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 Sheet: State Street Active Multi-Asset Income ETF Portfolio, Dec2025, accessed April 20, 2026, </w:t>
      </w:r>
      <w:hyperlink r:id="rId51">
        <w:r w:rsidDel="00000000" w:rsidR="00000000" w:rsidRPr="00000000">
          <w:rPr>
            <w:rFonts w:ascii="Google Sans" w:cs="Google Sans" w:eastAsia="Google Sans" w:hAnsi="Google Sans"/>
            <w:color w:val="0000ee"/>
            <w:sz w:val="24"/>
            <w:szCs w:val="24"/>
            <w:u w:val="single"/>
            <w:rtl w:val="0"/>
          </w:rPr>
          <w:t xml:space="preserve">https://www.ssga.com/library-content/products/factsheets/model-portfolio/us/factsheet-us-en-220518151413_glblmkt.pdf</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RLY State Street Multi-Asset Real Return ETF, accessed April 20, 2026, </w:t>
      </w:r>
      <w:hyperlink r:id="rId52">
        <w:r w:rsidDel="00000000" w:rsidR="00000000" w:rsidRPr="00000000">
          <w:rPr>
            <w:rFonts w:ascii="Google Sans" w:cs="Google Sans" w:eastAsia="Google Sans" w:hAnsi="Google Sans"/>
            <w:color w:val="0000ee"/>
            <w:sz w:val="24"/>
            <w:szCs w:val="24"/>
            <w:u w:val="single"/>
            <w:rtl w:val="0"/>
          </w:rPr>
          <w:t xml:space="preserve">https://etfdb.com/etf/RLY/</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iSTOXX® Fund Indices Methodology Guide, accessed April 20, 2026, </w:t>
      </w:r>
      <w:hyperlink r:id="rId53">
        <w:r w:rsidDel="00000000" w:rsidR="00000000" w:rsidRPr="00000000">
          <w:rPr>
            <w:rFonts w:ascii="Google Sans" w:cs="Google Sans" w:eastAsia="Google Sans" w:hAnsi="Google Sans"/>
            <w:color w:val="0000ee"/>
            <w:sz w:val="24"/>
            <w:szCs w:val="24"/>
            <w:u w:val="single"/>
            <w:rtl w:val="0"/>
          </w:rPr>
          <w:t xml:space="preserve">https://www.stoxx.com/document/Indices/Common/Indexguide/istoxx_fund_indices_methodology_guide.pdf</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 Solactive Mutual Fund Series 1 Index, accessed April 20, 2026, </w:t>
      </w:r>
      <w:hyperlink r:id="rId54">
        <w:r w:rsidDel="00000000" w:rsidR="00000000" w:rsidRPr="00000000">
          <w:rPr>
            <w:rFonts w:ascii="Google Sans" w:cs="Google Sans" w:eastAsia="Google Sans" w:hAnsi="Google Sans"/>
            <w:color w:val="0000ee"/>
            <w:sz w:val="24"/>
            <w:szCs w:val="24"/>
            <w:u w:val="single"/>
            <w:rtl w:val="0"/>
          </w:rPr>
          <w:t xml:space="preserve">https://www.solactive.com/downloads/Solactive-Mutual-Fund-Series-1-Index-v1.0.pdf</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iSTOXX® STRATEGY INDICES METHODOLOGY GUIDE, accessed April 20, 2026, </w:t>
      </w:r>
      <w:hyperlink r:id="rId55">
        <w:r w:rsidDel="00000000" w:rsidR="00000000" w:rsidRPr="00000000">
          <w:rPr>
            <w:rFonts w:ascii="Google Sans" w:cs="Google Sans" w:eastAsia="Google Sans" w:hAnsi="Google Sans"/>
            <w:color w:val="0000ee"/>
            <w:sz w:val="24"/>
            <w:szCs w:val="24"/>
            <w:u w:val="single"/>
            <w:rtl w:val="0"/>
          </w:rPr>
          <w:t xml:space="preserve">https://www.stoxx.com/document/Indices/Common/Indexguide/istoxx_strategy_indices_methodology_guide.pdf</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Wealthfront vs. Betterment, accessed April 20, 2026, </w:t>
      </w:r>
      <w:hyperlink r:id="rId56">
        <w:r w:rsidDel="00000000" w:rsidR="00000000" w:rsidRPr="00000000">
          <w:rPr>
            <w:rFonts w:ascii="Google Sans" w:cs="Google Sans" w:eastAsia="Google Sans" w:hAnsi="Google Sans"/>
            <w:color w:val="0000ee"/>
            <w:sz w:val="24"/>
            <w:szCs w:val="24"/>
            <w:u w:val="single"/>
            <w:rtl w:val="0"/>
          </w:rPr>
          <w:t xml:space="preserve">https://invest.wealthfront.com/wealthfront-vs-betterment</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Betterment vs. Wealthfront: 2026 Comparison - NerdWallet, accessed April 20, 2026, </w:t>
      </w:r>
      <w:hyperlink r:id="rId57">
        <w:r w:rsidDel="00000000" w:rsidR="00000000" w:rsidRPr="00000000">
          <w:rPr>
            <w:rFonts w:ascii="Google Sans" w:cs="Google Sans" w:eastAsia="Google Sans" w:hAnsi="Google Sans"/>
            <w:color w:val="0000ee"/>
            <w:sz w:val="24"/>
            <w:szCs w:val="24"/>
            <w:u w:val="single"/>
            <w:rtl w:val="0"/>
          </w:rPr>
          <w:t xml:space="preserve">https://www.nerdwallet.com/investing/learn/betterment-vs-wealthfront</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Wealthfront vs. Betterment, accessed April 20, 2026, </w:t>
      </w:r>
      <w:hyperlink r:id="rId58">
        <w:r w:rsidDel="00000000" w:rsidR="00000000" w:rsidRPr="00000000">
          <w:rPr>
            <w:rFonts w:ascii="Google Sans" w:cs="Google Sans" w:eastAsia="Google Sans" w:hAnsi="Google Sans"/>
            <w:color w:val="0000ee"/>
            <w:sz w:val="24"/>
            <w:szCs w:val="24"/>
            <w:u w:val="single"/>
            <w:rtl w:val="0"/>
          </w:rPr>
          <w:t xml:space="preserve">https://invest.wealthfront.com/wealthfront-v-betterment</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Wealthfront vs Betterment: Choosing the Best Robo-Advisor - Frec, accessed April 20, 2026, </w:t>
      </w:r>
      <w:hyperlink r:id="rId59">
        <w:r w:rsidDel="00000000" w:rsidR="00000000" w:rsidRPr="00000000">
          <w:rPr>
            <w:rFonts w:ascii="Google Sans" w:cs="Google Sans" w:eastAsia="Google Sans" w:hAnsi="Google Sans"/>
            <w:color w:val="0000ee"/>
            <w:sz w:val="24"/>
            <w:szCs w:val="24"/>
            <w:u w:val="single"/>
            <w:rtl w:val="0"/>
          </w:rPr>
          <w:t xml:space="preserve">https://frec.com/resources/blog/wealthfront-vs-betterment-choosing-the-best-robo-advisor</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Global ETF Outlook: The expansion accelerates - State Street, accessed April 20, 2026, </w:t>
      </w:r>
      <w:hyperlink r:id="rId60">
        <w:r w:rsidDel="00000000" w:rsidR="00000000" w:rsidRPr="00000000">
          <w:rPr>
            <w:rFonts w:ascii="Google Sans" w:cs="Google Sans" w:eastAsia="Google Sans" w:hAnsi="Google Sans"/>
            <w:color w:val="0000ee"/>
            <w:sz w:val="24"/>
            <w:szCs w:val="24"/>
            <w:u w:val="single"/>
            <w:rtl w:val="0"/>
          </w:rPr>
          <w:t xml:space="preserve">https://www.statestreet.com/ie/en/insights/etfs-2025-outlook</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Fast-Growing Market of Active ETFs - SEC.gov, accessed April 20, 2026, </w:t>
      </w:r>
      <w:hyperlink r:id="rId61">
        <w:r w:rsidDel="00000000" w:rsidR="00000000" w:rsidRPr="00000000">
          <w:rPr>
            <w:rFonts w:ascii="Google Sans" w:cs="Google Sans" w:eastAsia="Google Sans" w:hAnsi="Google Sans"/>
            <w:color w:val="0000ee"/>
            <w:sz w:val="24"/>
            <w:szCs w:val="24"/>
            <w:u w:val="single"/>
            <w:rtl w:val="0"/>
          </w:rPr>
          <w:t xml:space="preserve">https://www.sec.gov/files/dera-fast-growing-mrkt-2602.pdf</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Judge an Active ETF - Morningstar, accessed April 20, 2026, </w:t>
      </w:r>
      <w:hyperlink r:id="rId62">
        <w:r w:rsidDel="00000000" w:rsidR="00000000" w:rsidRPr="00000000">
          <w:rPr>
            <w:rFonts w:ascii="Google Sans" w:cs="Google Sans" w:eastAsia="Google Sans" w:hAnsi="Google Sans"/>
            <w:color w:val="0000ee"/>
            <w:sz w:val="24"/>
            <w:szCs w:val="24"/>
            <w:u w:val="single"/>
            <w:rtl w:val="0"/>
          </w:rPr>
          <w:t xml:space="preserve">https://www.morningstar.com/funds/how-judge-an-active-etf</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 Trends to Watch in 2026 and Beyond - CFRA Research, accessed April 20, 2026, </w:t>
      </w:r>
      <w:hyperlink r:id="rId63">
        <w:r w:rsidDel="00000000" w:rsidR="00000000" w:rsidRPr="00000000">
          <w:rPr>
            <w:rFonts w:ascii="Google Sans" w:cs="Google Sans" w:eastAsia="Google Sans" w:hAnsi="Google Sans"/>
            <w:color w:val="0000ee"/>
            <w:sz w:val="24"/>
            <w:szCs w:val="24"/>
            <w:u w:val="single"/>
            <w:rtl w:val="0"/>
          </w:rPr>
          <w:t xml:space="preserve">https://www.cfraresearch.com/blog/recently-launched-etfs-to-watch-in-2026/</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Examining the ETF Landscape, accessed April 20, 2026, </w:t>
      </w:r>
      <w:hyperlink r:id="rId64">
        <w:r w:rsidDel="00000000" w:rsidR="00000000" w:rsidRPr="00000000">
          <w:rPr>
            <w:rFonts w:ascii="Google Sans" w:cs="Google Sans" w:eastAsia="Google Sans" w:hAnsi="Google Sans"/>
            <w:color w:val="0000ee"/>
            <w:sz w:val="24"/>
            <w:szCs w:val="24"/>
            <w:u w:val="single"/>
            <w:rtl w:val="0"/>
          </w:rPr>
          <w:t xml:space="preserve">https://fundsmanagement.texascapital.com/wp-content/uploads/2025/01/etf-active-vs-passive.pdf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SEC's Division of Investment Management Clarifies Certain Questions on Fund of Funds Rule - Proskauer, accessed April 20, 2026, </w:t>
      </w:r>
      <w:hyperlink r:id="rId65">
        <w:r w:rsidDel="00000000" w:rsidR="00000000" w:rsidRPr="00000000">
          <w:rPr>
            <w:rFonts w:ascii="Google Sans" w:cs="Google Sans" w:eastAsia="Google Sans" w:hAnsi="Google Sans"/>
            <w:color w:val="0000ee"/>
            <w:sz w:val="24"/>
            <w:szCs w:val="24"/>
            <w:u w:val="single"/>
            <w:rtl w:val="0"/>
          </w:rPr>
          <w:t xml:space="preserve">https://www.proskauer.com/alert/secs-division-of-investment-management-clarifies-certain-questions-on-fund-of-funds-rule</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the fund of funds rule: Rule 12d1-4 - U.S. Bank, accessed April 20, 2026, </w:t>
      </w:r>
      <w:hyperlink r:id="rId66">
        <w:r w:rsidDel="00000000" w:rsidR="00000000" w:rsidRPr="00000000">
          <w:rPr>
            <w:rFonts w:ascii="Google Sans" w:cs="Google Sans" w:eastAsia="Google Sans" w:hAnsi="Google Sans"/>
            <w:color w:val="0000ee"/>
            <w:sz w:val="24"/>
            <w:szCs w:val="24"/>
            <w:u w:val="single"/>
            <w:rtl w:val="0"/>
          </w:rPr>
          <w:t xml:space="preserve">https://www.usbank.com/corporate-and-commercial-banking/insights/institutional/fund-administration/overview-funds-rule-12d1-4.html</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Rule: Fund of Funds Arrangements - SEC.gov, accessed April 20, 2026, </w:t>
      </w:r>
      <w:hyperlink r:id="rId67">
        <w:r w:rsidDel="00000000" w:rsidR="00000000" w:rsidRPr="00000000">
          <w:rPr>
            <w:rFonts w:ascii="Google Sans" w:cs="Google Sans" w:eastAsia="Google Sans" w:hAnsi="Google Sans"/>
            <w:color w:val="0000ee"/>
            <w:sz w:val="24"/>
            <w:szCs w:val="24"/>
            <w:u w:val="single"/>
            <w:rtl w:val="0"/>
          </w:rPr>
          <w:t xml:space="preserve">https://www.sec.gov/files/rules/final/2020/33-10871.pdf</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 Adopts Changes for Fund of Funds Arrangements | Insights | Ropes &amp; Gray LLP, accessed April 20, 2026, </w:t>
      </w:r>
      <w:hyperlink r:id="rId68">
        <w:r w:rsidDel="00000000" w:rsidR="00000000" w:rsidRPr="00000000">
          <w:rPr>
            <w:rFonts w:ascii="Google Sans" w:cs="Google Sans" w:eastAsia="Google Sans" w:hAnsi="Google Sans"/>
            <w:color w:val="0000ee"/>
            <w:sz w:val="24"/>
            <w:szCs w:val="24"/>
            <w:u w:val="single"/>
            <w:rtl w:val="0"/>
          </w:rPr>
          <w:t xml:space="preserve">https://www.ropesgray.com/en/insights/alerts/2020/10/sec-adopts-changes-for-fund-of-funds-arrangements</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ETF Basics and Structure: FAQs - Investment Company Institute, accessed April 20, 2026, </w:t>
      </w:r>
      <w:hyperlink r:id="rId69">
        <w:r w:rsidDel="00000000" w:rsidR="00000000" w:rsidRPr="00000000">
          <w:rPr>
            <w:rFonts w:ascii="Google Sans" w:cs="Google Sans" w:eastAsia="Google Sans" w:hAnsi="Google Sans"/>
            <w:color w:val="0000ee"/>
            <w:sz w:val="24"/>
            <w:szCs w:val="24"/>
            <w:u w:val="single"/>
            <w:rtl w:val="0"/>
          </w:rPr>
          <w:t xml:space="preserve">https://www.ici.org/faqs/faqs_etfs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 of Funds Arrangements Frequently Asked Questions - SEC.gov, accessed April 20, 2026, </w:t>
      </w:r>
      <w:hyperlink r:id="rId70">
        <w:r w:rsidDel="00000000" w:rsidR="00000000" w:rsidRPr="00000000">
          <w:rPr>
            <w:rFonts w:ascii="Google Sans" w:cs="Google Sans" w:eastAsia="Google Sans" w:hAnsi="Google Sans"/>
            <w:color w:val="0000ee"/>
            <w:sz w:val="24"/>
            <w:szCs w:val="24"/>
            <w:u w:val="single"/>
            <w:rtl w:val="0"/>
          </w:rPr>
          <w:t xml:space="preserve">https://www.sec.gov/rules-regulations/staff-guidance/fund-funds-arrangements-frequently-asked-questions</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Fund of Funds Rule and ETFs—(Missed) Opportunities | HUB - K&amp;L Gates, accessed April 20, 2026, </w:t>
      </w:r>
      <w:hyperlink r:id="rId71">
        <w:r w:rsidDel="00000000" w:rsidR="00000000" w:rsidRPr="00000000">
          <w:rPr>
            <w:rFonts w:ascii="Google Sans" w:cs="Google Sans" w:eastAsia="Google Sans" w:hAnsi="Google Sans"/>
            <w:color w:val="0000ee"/>
            <w:sz w:val="24"/>
            <w:szCs w:val="24"/>
            <w:u w:val="single"/>
            <w:rtl w:val="0"/>
          </w:rPr>
          <w:t xml:space="preserve">https://www.klgates.com/The-New-Fund-of-Funds-Rule-and-ETFsMissed-Opportunities-11-2-2020</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 of Funds - SEC.gov, accessed April 20, 2026, </w:t>
      </w:r>
      <w:hyperlink r:id="rId72">
        <w:r w:rsidDel="00000000" w:rsidR="00000000" w:rsidRPr="00000000">
          <w:rPr>
            <w:rFonts w:ascii="Google Sans" w:cs="Google Sans" w:eastAsia="Google Sans" w:hAnsi="Google Sans"/>
            <w:color w:val="0000ee"/>
            <w:sz w:val="24"/>
            <w:szCs w:val="24"/>
            <w:u w:val="single"/>
            <w:rtl w:val="0"/>
          </w:rPr>
          <w:t xml:space="preserve">https://www.sec.gov/investment/secg-fund-of-funds</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SEC's Division of Investment Management Publishes Four FAQs Related to the Adoption of Rule 12d1-4 for Fund of Funds Arrangements | Faegre Drinker Biddle &amp; Reath LLP, accessed April 20, 2026, </w:t>
      </w:r>
      <w:hyperlink r:id="rId73">
        <w:r w:rsidDel="00000000" w:rsidR="00000000" w:rsidRPr="00000000">
          <w:rPr>
            <w:rFonts w:ascii="Google Sans" w:cs="Google Sans" w:eastAsia="Google Sans" w:hAnsi="Google Sans"/>
            <w:color w:val="0000ee"/>
            <w:sz w:val="24"/>
            <w:szCs w:val="24"/>
            <w:u w:val="single"/>
            <w:rtl w:val="0"/>
          </w:rPr>
          <w:t xml:space="preserve">https://www.faegredrinker.com/en/insights/publications/2026/3/sec-division-of-investment-management-publishes-four-faqs-related-to-the-adoption-of-rule-12d1-4-for-fund-of-funds-arrangements</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the European ETF Market - Dimensional Fund Advisors, accessed April 20, 2026, </w:t>
      </w:r>
      <w:hyperlink r:id="rId74">
        <w:r w:rsidDel="00000000" w:rsidR="00000000" w:rsidRPr="00000000">
          <w:rPr>
            <w:rFonts w:ascii="Google Sans" w:cs="Google Sans" w:eastAsia="Google Sans" w:hAnsi="Google Sans"/>
            <w:color w:val="0000ee"/>
            <w:sz w:val="24"/>
            <w:szCs w:val="24"/>
            <w:u w:val="single"/>
            <w:rtl w:val="0"/>
          </w:rPr>
          <w:t xml:space="preserve">https://www.dimensional.com/se-en/insights/overview-of-the-european-etf-market</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Friday Facts: David vs Goliath – A Comparison of the U.S. and European ETF Industry, accessed April 20, 2026, </w:t>
      </w:r>
      <w:hyperlink r:id="rId75">
        <w:r w:rsidDel="00000000" w:rsidR="00000000" w:rsidRPr="00000000">
          <w:rPr>
            <w:rFonts w:ascii="Google Sans" w:cs="Google Sans" w:eastAsia="Google Sans" w:hAnsi="Google Sans"/>
            <w:color w:val="0000ee"/>
            <w:sz w:val="24"/>
            <w:szCs w:val="24"/>
            <w:u w:val="single"/>
            <w:rtl w:val="0"/>
          </w:rPr>
          <w:t xml:space="preserve">https://lipperalpha.refinitiv.com/2025/05/a-comparison-of-the-u-s-and-european-etf-industry/</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years of ETFs in Europe: A revolution in portfolio trading | Blog posts - STOXX, accessed April 20, 2026, </w:t>
      </w:r>
      <w:hyperlink r:id="rId76">
        <w:r w:rsidDel="00000000" w:rsidR="00000000" w:rsidRPr="00000000">
          <w:rPr>
            <w:rFonts w:ascii="Google Sans" w:cs="Google Sans" w:eastAsia="Google Sans" w:hAnsi="Google Sans"/>
            <w:color w:val="0000ee"/>
            <w:sz w:val="24"/>
            <w:szCs w:val="24"/>
            <w:u w:val="single"/>
            <w:rtl w:val="0"/>
          </w:rPr>
          <w:t xml:space="preserve">https://stoxx.com/25-years-of-etfs-in-europe-a-revolution-in-portfolio-trading/</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of US and European Exchange Traded Funds: A Base Point-Slack-Based Measure Approach - MDPI, accessed April 20, 2026, </w:t>
      </w:r>
      <w:hyperlink r:id="rId77">
        <w:r w:rsidDel="00000000" w:rsidR="00000000" w:rsidRPr="00000000">
          <w:rPr>
            <w:rFonts w:ascii="Google Sans" w:cs="Google Sans" w:eastAsia="Google Sans" w:hAnsi="Google Sans"/>
            <w:color w:val="0000ee"/>
            <w:sz w:val="24"/>
            <w:szCs w:val="24"/>
            <w:u w:val="single"/>
            <w:rtl w:val="0"/>
          </w:rPr>
          <w:t xml:space="preserve">https://www.mdpi.com/1911-8074/16/2/130</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precisely European equity ETFs mirror their flagship benchmarks? Evidence from funds replicating performance of Euro Stoxx 50 Index - PMC, accessed April 20, 2026, </w:t>
      </w:r>
      <w:hyperlink r:id="rId78">
        <w:r w:rsidDel="00000000" w:rsidR="00000000" w:rsidRPr="00000000">
          <w:rPr>
            <w:rFonts w:ascii="Google Sans" w:cs="Google Sans" w:eastAsia="Google Sans" w:hAnsi="Google Sans"/>
            <w:color w:val="0000ee"/>
            <w:sz w:val="24"/>
            <w:szCs w:val="24"/>
            <w:u w:val="single"/>
            <w:rtl w:val="0"/>
          </w:rPr>
          <w:t xml:space="preserve">https://pmc.ncbi.nlm.nih.gov/articles/PMC9527009/</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Global to Launch its First AI-Enhanced Sector Rotation Index - PR Newswire, accessed April 20, 2026, </w:t>
      </w:r>
      <w:hyperlink r:id="rId79">
        <w:r w:rsidDel="00000000" w:rsidR="00000000" w:rsidRPr="00000000">
          <w:rPr>
            <w:rFonts w:ascii="Google Sans" w:cs="Google Sans" w:eastAsia="Google Sans" w:hAnsi="Google Sans"/>
            <w:color w:val="0000ee"/>
            <w:sz w:val="24"/>
            <w:szCs w:val="24"/>
            <w:u w:val="single"/>
            <w:rtl w:val="0"/>
          </w:rPr>
          <w:t xml:space="preserve">https://www.prnewswire.com/news-releases/sp-global-to-launch-its-first-ai-enhanced-sector-rotation-index-302592660.html</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S&amp;P 3AI Indices - S&amp;P Global, accessed April 20, 2026, </w:t>
      </w:r>
      <w:hyperlink r:id="rId80">
        <w:r w:rsidDel="00000000" w:rsidR="00000000" w:rsidRPr="00000000">
          <w:rPr>
            <w:rFonts w:ascii="Google Sans" w:cs="Google Sans" w:eastAsia="Google Sans" w:hAnsi="Google Sans"/>
            <w:color w:val="0000ee"/>
            <w:sz w:val="24"/>
            <w:szCs w:val="24"/>
            <w:u w:val="single"/>
            <w:rtl w:val="0"/>
          </w:rPr>
          <w:t xml:space="preserve">https://www.spglobal.com/spdji/en/documents/methodologies/methodology-sp-3ai-indices.pdf</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TalkingPoints - S&amp;P Global, accessed April 20, 2026, </w:t>
      </w:r>
      <w:hyperlink r:id="rId81">
        <w:r w:rsidDel="00000000" w:rsidR="00000000" w:rsidRPr="00000000">
          <w:rPr>
            <w:rFonts w:ascii="Google Sans" w:cs="Google Sans" w:eastAsia="Google Sans" w:hAnsi="Google Sans"/>
            <w:color w:val="0000ee"/>
            <w:sz w:val="24"/>
            <w:szCs w:val="24"/>
            <w:u w:val="single"/>
            <w:rtl w:val="0"/>
          </w:rPr>
          <w:t xml:space="preserve">https://www.spglobal.com/spdji/en/documents/education/talkingpoints-using-ai-in-index-construction-with-3ai.pdf</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3AI, accessed April 20, 2026, </w:t>
      </w:r>
      <w:hyperlink r:id="rId82">
        <w:r w:rsidDel="00000000" w:rsidR="00000000" w:rsidRPr="00000000">
          <w:rPr>
            <w:rFonts w:ascii="Google Sans" w:cs="Google Sans" w:eastAsia="Google Sans" w:hAnsi="Google Sans"/>
            <w:color w:val="0000ee"/>
            <w:sz w:val="24"/>
            <w:szCs w:val="24"/>
            <w:u w:val="single"/>
            <w:rtl w:val="0"/>
          </w:rPr>
          <w:t xml:space="preserve">https://www.3ai.co/</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3AI Demo - FinTech Connect 2025, accessed April 20, 2026, </w:t>
      </w:r>
      <w:hyperlink r:id="rId83">
        <w:r w:rsidDel="00000000" w:rsidR="00000000" w:rsidRPr="00000000">
          <w:rPr>
            <w:rFonts w:ascii="Google Sans" w:cs="Google Sans" w:eastAsia="Google Sans" w:hAnsi="Google Sans"/>
            <w:color w:val="0000ee"/>
            <w:sz w:val="24"/>
            <w:szCs w:val="24"/>
            <w:u w:val="single"/>
            <w:rtl w:val="0"/>
          </w:rPr>
          <w:t xml:space="preserve">https://www.fintechconnect.com/startup-launchpad-demos/3ai-demo</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3AI: artificial intelligence can solve the problem of back-testing, improve sub optimal investment strategies - SRP Structured Products, accessed April 20, 2026, </w:t>
      </w:r>
      <w:hyperlink r:id="rId84">
        <w:r w:rsidDel="00000000" w:rsidR="00000000" w:rsidRPr="00000000">
          <w:rPr>
            <w:rFonts w:ascii="Google Sans" w:cs="Google Sans" w:eastAsia="Google Sans" w:hAnsi="Google Sans"/>
            <w:color w:val="0000ee"/>
            <w:sz w:val="24"/>
            <w:szCs w:val="24"/>
            <w:u w:val="single"/>
            <w:rtl w:val="0"/>
          </w:rPr>
          <w:t xml:space="preserve">https://www.structuredretailproducts.com/insights/79453/3ai-artificial-intelligence-can-solve-the-problem-of-back-testing-improve-sub-optimal-investment-strategies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Reinforcement Learning for Optimal Portfolio Allocation: A Comparative Study with Mean-Variance Optimization - arXiv, accessed April 20, 2026, </w:t>
      </w:r>
      <w:hyperlink r:id="rId85">
        <w:r w:rsidDel="00000000" w:rsidR="00000000" w:rsidRPr="00000000">
          <w:rPr>
            <w:rFonts w:ascii="Google Sans" w:cs="Google Sans" w:eastAsia="Google Sans" w:hAnsi="Google Sans"/>
            <w:color w:val="0000ee"/>
            <w:sz w:val="24"/>
            <w:szCs w:val="24"/>
            <w:u w:val="single"/>
            <w:rtl w:val="0"/>
          </w:rPr>
          <w:t xml:space="preserve">https://arxiv.org/html/2602.17098v1</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report: Dynamic Asset Allocation Using Reinforcement Learning - Stanford Profiles - Stanford University, accessed April 20, 2026, </w:t>
      </w:r>
      <w:hyperlink r:id="rId86">
        <w:r w:rsidDel="00000000" w:rsidR="00000000" w:rsidRPr="00000000">
          <w:rPr>
            <w:rFonts w:ascii="Google Sans" w:cs="Google Sans" w:eastAsia="Google Sans" w:hAnsi="Google Sans"/>
            <w:color w:val="0000ee"/>
            <w:sz w:val="24"/>
            <w:szCs w:val="24"/>
            <w:u w:val="single"/>
            <w:rtl w:val="0"/>
          </w:rPr>
          <w:t xml:space="preserve">https://cap.stanford.edu/profiles/cwmd?cwmId=6175&amp;fid=69080</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finance: budget allocation with Deep Reinforcement Learning - BBVA AI Factory |, accessed April 20, 2026, </w:t>
      </w:r>
      <w:hyperlink r:id="rId87">
        <w:r w:rsidDel="00000000" w:rsidR="00000000" w:rsidRPr="00000000">
          <w:rPr>
            <w:rFonts w:ascii="Google Sans" w:cs="Google Sans" w:eastAsia="Google Sans" w:hAnsi="Google Sans"/>
            <w:color w:val="0000ee"/>
            <w:sz w:val="24"/>
            <w:szCs w:val="24"/>
            <w:u w:val="single"/>
            <w:rtl w:val="0"/>
          </w:rPr>
          <w:t xml:space="preserve">https://www.bbvaaifactory.com/deep-reinforcement-learning-finance/</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Factor-based deep reinforcement learning for asset allocation: Comparative analysis of static and dynamic beta reward designs | PLOS One, accessed April 20, 2026, </w:t>
      </w:r>
      <w:hyperlink r:id="rId88">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https://journals.plos.org/plosone/article?id=10.1371/journal.pone.0332779</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Investment Directions - BlackRock, accessed April 20, 2026, </w:t>
      </w:r>
      <w:hyperlink r:id="rId89">
        <w:r w:rsidDel="00000000" w:rsidR="00000000" w:rsidRPr="00000000">
          <w:rPr>
            <w:rFonts w:ascii="Google Sans" w:cs="Google Sans" w:eastAsia="Google Sans" w:hAnsi="Google Sans"/>
            <w:color w:val="0000ee"/>
            <w:sz w:val="24"/>
            <w:szCs w:val="24"/>
            <w:u w:val="single"/>
            <w:rtl w:val="0"/>
          </w:rPr>
          <w:t xml:space="preserve">https://www.blackrock.com/us/financial-professionals/insights/inside-the-market/investment-directions</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the Private-Asset Dimension to Target-Date Glide Paths | AB - AllianceBernstein, accessed April 20, 2026, </w:t>
      </w:r>
      <w:hyperlink r:id="rId90">
        <w:r w:rsidDel="00000000" w:rsidR="00000000" w:rsidRPr="00000000">
          <w:rPr>
            <w:rFonts w:ascii="Google Sans" w:cs="Google Sans" w:eastAsia="Google Sans" w:hAnsi="Google Sans"/>
            <w:color w:val="0000ee"/>
            <w:sz w:val="24"/>
            <w:szCs w:val="24"/>
            <w:u w:val="single"/>
            <w:rtl w:val="0"/>
          </w:rPr>
          <w:t xml:space="preserve">https://www.alliancebernstein.com/us/en-us/investments/insights/retirement-insights/bringing-the-private-asset-dimension-to-target-date-glide-paths.html</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asset allocation in an AI world - T. Rowe Price, accessed April 20, 2026, </w:t>
      </w:r>
      <w:hyperlink r:id="rId91">
        <w:r w:rsidDel="00000000" w:rsidR="00000000" w:rsidRPr="00000000">
          <w:rPr>
            <w:rFonts w:ascii="Google Sans" w:cs="Google Sans" w:eastAsia="Google Sans" w:hAnsi="Google Sans"/>
            <w:color w:val="0000ee"/>
            <w:sz w:val="24"/>
            <w:szCs w:val="24"/>
            <w:u w:val="single"/>
            <w:rtl w:val="0"/>
          </w:rPr>
          <w:t xml:space="preserve">https://www.troweprice.com/institutional/us/en/insights/articles/2026/q1/revisiting-asset-allocation-in-an-ai-world-na.html</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Portfolio construction in the era of AI disruption - BlackRock, accessed April 20, 2026, </w:t>
      </w:r>
      <w:hyperlink r:id="rId92">
        <w:r w:rsidDel="00000000" w:rsidR="00000000" w:rsidRPr="00000000">
          <w:rPr>
            <w:rFonts w:ascii="Google Sans" w:cs="Google Sans" w:eastAsia="Google Sans" w:hAnsi="Google Sans"/>
            <w:color w:val="0000ee"/>
            <w:sz w:val="24"/>
            <w:szCs w:val="24"/>
            <w:u w:val="single"/>
            <w:rtl w:val="0"/>
          </w:rPr>
          <w:t xml:space="preserve">https://www.blackrock.com/us/financial-professionals/insights/ai-disruption-investing</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Problems and Limitations of Using Machine Learning to Solve Problems in the Construction Sector - R Discovery, accessed April 20, 2026, </w:t>
      </w:r>
      <w:hyperlink r:id="rId93">
        <w:r w:rsidDel="00000000" w:rsidR="00000000" w:rsidRPr="00000000">
          <w:rPr>
            <w:rFonts w:ascii="Google Sans" w:cs="Google Sans" w:eastAsia="Google Sans" w:hAnsi="Google Sans"/>
            <w:color w:val="0000ee"/>
            <w:sz w:val="24"/>
            <w:szCs w:val="24"/>
            <w:u w:val="single"/>
            <w:rtl w:val="0"/>
          </w:rPr>
          <w:t xml:space="preserve">https://discovery.researcher.life/article/problems-and-limitations-of-using-machine-learning-to-solve-problems-in-the-construction-sector/a84a0fb3faec3058ba54d50d420c36b1</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article: Machine learning (ML) and deep learning (DL) in sustainable concrete construction: review, trend and gap analyses - Taylor &amp; Francis, accessed April 20, 2026, </w:t>
      </w:r>
      <w:hyperlink r:id="rId94">
        <w:r w:rsidDel="00000000" w:rsidR="00000000" w:rsidRPr="00000000">
          <w:rPr>
            <w:rFonts w:ascii="Google Sans" w:cs="Google Sans" w:eastAsia="Google Sans" w:hAnsi="Google Sans"/>
            <w:color w:val="0000ee"/>
            <w:sz w:val="24"/>
            <w:szCs w:val="24"/>
            <w:u w:val="single"/>
            <w:rtl w:val="0"/>
          </w:rPr>
          <w:t xml:space="preserve">https://www.tandfonline.com/doi/full/10.1080/13467581.2025.2574571</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Multi-Asset Outlook: Policy, Inflation and Markets - American Century Investments, accessed April 20, 2026, </w:t>
      </w:r>
      <w:hyperlink r:id="rId95">
        <w:r w:rsidDel="00000000" w:rsidR="00000000" w:rsidRPr="00000000">
          <w:rPr>
            <w:rFonts w:ascii="Google Sans" w:cs="Google Sans" w:eastAsia="Google Sans" w:hAnsi="Google Sans"/>
            <w:color w:val="0000ee"/>
            <w:sz w:val="24"/>
            <w:szCs w:val="24"/>
            <w:u w:val="single"/>
            <w:rtl w:val="0"/>
          </w:rPr>
          <w:t xml:space="preserve">https://www.americancentury.com/plan/investment-outlook/multi-asset-strategies/</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Harmonizing Portfolio Exposures: Cross-Asset Insights for 2026 | AB - AllianceBernstein, accessed April 20, 2026, </w:t>
      </w:r>
      <w:hyperlink r:id="rId96">
        <w:r w:rsidDel="00000000" w:rsidR="00000000" w:rsidRPr="00000000">
          <w:rPr>
            <w:rFonts w:ascii="Google Sans" w:cs="Google Sans" w:eastAsia="Google Sans" w:hAnsi="Google Sans"/>
            <w:color w:val="0000ee"/>
            <w:sz w:val="24"/>
            <w:szCs w:val="24"/>
            <w:u w:val="single"/>
            <w:rtl w:val="0"/>
          </w:rPr>
          <w:t xml:space="preserve">https://www.alliancebernstein.com/us/en-us/investments/insights/investment-insights/harmonizing-portfolio-exposures-cross-asset-insights-for-2026.html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vanguardmexico.com/content/dam/intl/americas/documents/latam/en/sa-2123682-vanguards-life-cycle-investing-model-vlcm.pdf" TargetMode="External"/><Relationship Id="rId84" Type="http://schemas.openxmlformats.org/officeDocument/2006/relationships/hyperlink" Target="https://www.structuredretailproducts.com/insights/79453/3ai-artificial-intelligence-can-solve-the-problem-of-back-testing-improve-sub-optimal-investment-strategies" TargetMode="External"/><Relationship Id="rId83" Type="http://schemas.openxmlformats.org/officeDocument/2006/relationships/hyperlink" Target="https://www.fintechconnect.com/startup-launchpad-demos/3ai-demo" TargetMode="External"/><Relationship Id="rId42" Type="http://schemas.openxmlformats.org/officeDocument/2006/relationships/hyperlink" Target="https://workplace.vanguard.com/content/dam/inst/iig-transformation/insights/pdf/2022/Vanguards-approach-to-target-date-funds.pdf" TargetMode="External"/><Relationship Id="rId86" Type="http://schemas.openxmlformats.org/officeDocument/2006/relationships/hyperlink" Target="https://cap.stanford.edu/profiles/cwmd?cwmId=6175&amp;fid=69080" TargetMode="External"/><Relationship Id="rId41" Type="http://schemas.openxmlformats.org/officeDocument/2006/relationships/hyperlink" Target="https://corporate.vanguard.com/content/dam/corp/research/pdf/vanguards_approach_to_target_date_funds.pdf" TargetMode="External"/><Relationship Id="rId85" Type="http://schemas.openxmlformats.org/officeDocument/2006/relationships/hyperlink" Target="https://arxiv.org/html/2602.17098v1" TargetMode="External"/><Relationship Id="rId44" Type="http://schemas.openxmlformats.org/officeDocument/2006/relationships/hyperlink" Target="https://ownyourfuture.vanguard.com/content/en/advice-profile/resources/insights/value-of-personalized-glide-paths.html" TargetMode="External"/><Relationship Id="rId88" Type="http://schemas.openxmlformats.org/officeDocument/2006/relationships/hyperlink" Target="https://journals.plos.org/plosone/article?id=10.1371/journal.pone.0332779" TargetMode="External"/><Relationship Id="rId43" Type="http://schemas.openxmlformats.org/officeDocument/2006/relationships/hyperlink" Target="https://workplace.vanguard.com/investment/strategies/tdf-construction.html" TargetMode="External"/><Relationship Id="rId87" Type="http://schemas.openxmlformats.org/officeDocument/2006/relationships/hyperlink" Target="https://www.bbvaaifactory.com/deep-reinforcement-learning-finance/" TargetMode="External"/><Relationship Id="rId46" Type="http://schemas.openxmlformats.org/officeDocument/2006/relationships/hyperlink" Target="https://www.bloomberg.com/professional/products/indices/multi-asset/" TargetMode="External"/><Relationship Id="rId45" Type="http://schemas.openxmlformats.org/officeDocument/2006/relationships/hyperlink" Target="https://www.advent.com/news-and-insights/blog/5-trends-reshaping-investment-management-in-2026/" TargetMode="External"/><Relationship Id="rId89" Type="http://schemas.openxmlformats.org/officeDocument/2006/relationships/hyperlink" Target="https://www.blackrock.com/us/financial-professionals/insights/inside-the-market/investment-directions" TargetMode="External"/><Relationship Id="rId80" Type="http://schemas.openxmlformats.org/officeDocument/2006/relationships/hyperlink" Target="https://www.spglobal.com/spdji/en/documents/methodologies/methodology-sp-3ai-indices.pdf" TargetMode="External"/><Relationship Id="rId82" Type="http://schemas.openxmlformats.org/officeDocument/2006/relationships/hyperlink" Target="https://www.3ai.co/" TargetMode="External"/><Relationship Id="rId81" Type="http://schemas.openxmlformats.org/officeDocument/2006/relationships/hyperlink" Target="https://www.spglobal.com/spdji/en/documents/education/talkingpoints-using-ai-in-index-construction-with-3ai.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data.bloomberglp.com/professional/sites/10/Bloomberg-US-Multi-Asset-Index-Fact-Sheet.pdf" TargetMode="External"/><Relationship Id="rId47" Type="http://schemas.openxmlformats.org/officeDocument/2006/relationships/hyperlink" Target="https://www.bloomberg.com/professional/products/indices/" TargetMode="External"/><Relationship Id="rId49" Type="http://schemas.openxmlformats.org/officeDocument/2006/relationships/hyperlink" Target="https://www.ssga.com/library-content/products/factsheets/model-portfolio/us/factsheet-us-en-210524150925_glblmkt.pdf" TargetMode="External"/><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5.png"/><Relationship Id="rId73" Type="http://schemas.openxmlformats.org/officeDocument/2006/relationships/hyperlink" Target="https://www.faegredrinker.com/en/insights/publications/2026/3/sec-division-of-investment-management-publishes-four-faqs-related-to-the-adoption-of-rule-12d1-4-for-fund-of-funds-arrangements" TargetMode="External"/><Relationship Id="rId72" Type="http://schemas.openxmlformats.org/officeDocument/2006/relationships/hyperlink" Target="https://www.sec.gov/investment/secg-fund-of-funds" TargetMode="External"/><Relationship Id="rId31" Type="http://schemas.openxmlformats.org/officeDocument/2006/relationships/hyperlink" Target="https://rationalreminder.ca/podcast/374" TargetMode="External"/><Relationship Id="rId75" Type="http://schemas.openxmlformats.org/officeDocument/2006/relationships/hyperlink" Target="https://lipperalpha.refinitiv.com/2025/05/a-comparison-of-the-u-s-and-european-etf-industry/" TargetMode="External"/><Relationship Id="rId30" Type="http://schemas.openxmlformats.org/officeDocument/2006/relationships/hyperlink" Target="https://www.wilshire.com/press-releases/wilshire-launches-enhanced-ft-wilshire-5000-index-series" TargetMode="External"/><Relationship Id="rId74" Type="http://schemas.openxmlformats.org/officeDocument/2006/relationships/hyperlink" Target="https://www.dimensional.com/se-en/insights/overview-of-the-european-etf-market" TargetMode="External"/><Relationship Id="rId33" Type="http://schemas.openxmlformats.org/officeDocument/2006/relationships/hyperlink" Target="https://cdn.ymaws.com/dciia.org/resource/resmgr/rrc_media/projects_2023/SP_Target_Date_Series_-_Dece.pdf" TargetMode="External"/><Relationship Id="rId77" Type="http://schemas.openxmlformats.org/officeDocument/2006/relationships/hyperlink" Target="https://www.mdpi.com/1911-8074/16/2/130" TargetMode="External"/><Relationship Id="rId32" Type="http://schemas.openxmlformats.org/officeDocument/2006/relationships/hyperlink" Target="https://www.spglobal.com/spdji/en/documents/methodologies/methodology-sp-target-date.pdf" TargetMode="External"/><Relationship Id="rId76" Type="http://schemas.openxmlformats.org/officeDocument/2006/relationships/hyperlink" Target="https://stoxx.com/25-years-of-etfs-in-europe-a-revolution-in-portfolio-trading/" TargetMode="External"/><Relationship Id="rId35" Type="http://schemas.openxmlformats.org/officeDocument/2006/relationships/hyperlink" Target="https://www.reddit.com/r/Cryptozoology/comments/1sle2hc/bill_munns_has_responded_with_a_long_waffling/" TargetMode="External"/><Relationship Id="rId79" Type="http://schemas.openxmlformats.org/officeDocument/2006/relationships/hyperlink" Target="https://www.prnewswire.com/news-releases/sp-global-to-launch-its-first-ai-enhanced-sector-rotation-index-302592660.html" TargetMode="External"/><Relationship Id="rId34" Type="http://schemas.openxmlformats.org/officeDocument/2006/relationships/hyperlink" Target="https://www.dol.gov/sites/dolgov/files/EBSA/about-ebsa/about-us/erisa-advisory-council/2024-qdia-pollock-witness-statement-0910.pdf" TargetMode="External"/><Relationship Id="rId78" Type="http://schemas.openxmlformats.org/officeDocument/2006/relationships/hyperlink" Target="https://pmc.ncbi.nlm.nih.gov/articles/PMC9527009/" TargetMode="External"/><Relationship Id="rId71" Type="http://schemas.openxmlformats.org/officeDocument/2006/relationships/hyperlink" Target="https://www.klgates.com/The-New-Fund-of-Funds-Rule-and-ETFsMissed-Opportunities-11-2-2020" TargetMode="External"/><Relationship Id="rId70" Type="http://schemas.openxmlformats.org/officeDocument/2006/relationships/hyperlink" Target="https://www.sec.gov/rules-regulations/staff-guidance/fund-funds-arrangements-frequently-asked-questions" TargetMode="External"/><Relationship Id="rId37" Type="http://schemas.openxmlformats.org/officeDocument/2006/relationships/hyperlink" Target="https://www.nber.org/system/files/working_papers/w27971/w27971.pdf" TargetMode="External"/><Relationship Id="rId36" Type="http://schemas.openxmlformats.org/officeDocument/2006/relationships/hyperlink" Target="https://www.callan.com/blog/tdf-benchmarks/" TargetMode="External"/><Relationship Id="rId39" Type="http://schemas.openxmlformats.org/officeDocument/2006/relationships/hyperlink" Target="https://workplace.vanguard.com/content/dam/inst/iig-transformation/insights/pdf/2022/value-of-personalized-advice.pdf" TargetMode="External"/><Relationship Id="rId38" Type="http://schemas.openxmlformats.org/officeDocument/2006/relationships/hyperlink" Target="https://corporate.vanguard.com/content/dam/corp/research/pdf/vanguard_life_cycle_investing_model_vlcm_a_general_portfolio_framework_for_goals_based_investing.pdf" TargetMode="External"/><Relationship Id="rId62" Type="http://schemas.openxmlformats.org/officeDocument/2006/relationships/hyperlink" Target="https://www.morningstar.com/funds/how-judge-an-active-etf" TargetMode="External"/><Relationship Id="rId61" Type="http://schemas.openxmlformats.org/officeDocument/2006/relationships/hyperlink" Target="https://www.sec.gov/files/dera-fast-growing-mrkt-2602.pdf" TargetMode="External"/><Relationship Id="rId20" Type="http://schemas.openxmlformats.org/officeDocument/2006/relationships/hyperlink" Target="https://indexes.morningstar.com/api/docs/683df64a3bb899657da3fcda" TargetMode="External"/><Relationship Id="rId64" Type="http://schemas.openxmlformats.org/officeDocument/2006/relationships/hyperlink" Target="https://fundsmanagement.texascapital.com/wp-content/uploads/2025/01/etf-active-vs-passive.pdf" TargetMode="External"/><Relationship Id="rId63" Type="http://schemas.openxmlformats.org/officeDocument/2006/relationships/hyperlink" Target="https://www.cfraresearch.com/blog/recently-launched-etfs-to-watch-in-2026/" TargetMode="External"/><Relationship Id="rId22" Type="http://schemas.openxmlformats.org/officeDocument/2006/relationships/hyperlink" Target="https://morningstardirect.morningstar.com/clientcomm/Morningstar_Advanced_ETF_Analytics_Methodology_3.0.pdf" TargetMode="External"/><Relationship Id="rId66" Type="http://schemas.openxmlformats.org/officeDocument/2006/relationships/hyperlink" Target="https://www.usbank.com/corporate-and-commercial-banking/insights/institutional/fund-administration/overview-funds-rule-12d1-4.html" TargetMode="External"/><Relationship Id="rId21" Type="http://schemas.openxmlformats.org/officeDocument/2006/relationships/hyperlink" Target="https://www.ishares.com/us/literature/presentation/ishares-sector-and-industry-etfs.pdf" TargetMode="External"/><Relationship Id="rId65" Type="http://schemas.openxmlformats.org/officeDocument/2006/relationships/hyperlink" Target="https://www.proskauer.com/alert/secs-division-of-investment-management-clarifies-certain-questions-on-fund-of-funds-rule" TargetMode="External"/><Relationship Id="rId24" Type="http://schemas.openxmlformats.org/officeDocument/2006/relationships/hyperlink" Target="https://stoxx.com/evaluating-the-true-cost-of-momentum-investing/" TargetMode="External"/><Relationship Id="rId68" Type="http://schemas.openxmlformats.org/officeDocument/2006/relationships/hyperlink" Target="https://www.ropesgray.com/en/insights/alerts/2020/10/sec-adopts-changes-for-fund-of-funds-arrangements" TargetMode="External"/><Relationship Id="rId23" Type="http://schemas.openxmlformats.org/officeDocument/2006/relationships/hyperlink" Target="https://www.morningstar.com/content/dam/marketing/shared/research/methodology/780724_Morningstar_Analyst_Rating_for_ETFs_and_Index_Funds_Methodology.pdf" TargetMode="External"/><Relationship Id="rId67" Type="http://schemas.openxmlformats.org/officeDocument/2006/relationships/hyperlink" Target="https://www.sec.gov/files/rules/final/2020/33-10871.pdf" TargetMode="External"/><Relationship Id="rId60" Type="http://schemas.openxmlformats.org/officeDocument/2006/relationships/hyperlink" Target="https://www.statestreet.com/ie/en/insights/etfs-2025-outlook" TargetMode="External"/><Relationship Id="rId26" Type="http://schemas.openxmlformats.org/officeDocument/2006/relationships/hyperlink" Target="https://www.paceretfs.com/products/ALTL" TargetMode="External"/><Relationship Id="rId25" Type="http://schemas.openxmlformats.org/officeDocument/2006/relationships/hyperlink" Target="https://www.aaii.com/etf/ticker/ALTL" TargetMode="External"/><Relationship Id="rId69" Type="http://schemas.openxmlformats.org/officeDocument/2006/relationships/hyperlink" Target="https://www.ici.org/faqs/faqs_etfs" TargetMode="External"/><Relationship Id="rId28" Type="http://schemas.openxmlformats.org/officeDocument/2006/relationships/hyperlink" Target="https://www.perplexity.ai/finance/ALTL?comparing=ALTL,INDS,KURE,ABEQ,SOVF,BUZZ" TargetMode="External"/><Relationship Id="rId27" Type="http://schemas.openxmlformats.org/officeDocument/2006/relationships/hyperlink" Target="https://pictureperfectportfolios.com/pacer-lunt-large-cap-alternator-etf-altl-review/" TargetMode="External"/><Relationship Id="rId29" Type="http://schemas.openxmlformats.org/officeDocument/2006/relationships/hyperlink" Target="https://www.wilshire.com/press-releases/wilshire-brings-to-market-third-generation-factor-index-series" TargetMode="External"/><Relationship Id="rId51" Type="http://schemas.openxmlformats.org/officeDocument/2006/relationships/hyperlink" Target="https://www.ssga.com/library-content/products/factsheets/model-portfolio/us/factsheet-us-en-220518151413_glblmkt.pdf" TargetMode="External"/><Relationship Id="rId95" Type="http://schemas.openxmlformats.org/officeDocument/2006/relationships/hyperlink" Target="https://www.americancentury.com/plan/investment-outlook/multi-asset-strategies/" TargetMode="External"/><Relationship Id="rId50" Type="http://schemas.openxmlformats.org/officeDocument/2006/relationships/hyperlink" Target="https://www.ssga.com/us/en/intermediary/model-portfolio/state-street-strategic-multi-asset-income-etf-portfolio-210524150925_glblmkt" TargetMode="External"/><Relationship Id="rId94" Type="http://schemas.openxmlformats.org/officeDocument/2006/relationships/hyperlink" Target="https://www.tandfonline.com/doi/full/10.1080/13467581.2025.2574571" TargetMode="External"/><Relationship Id="rId53" Type="http://schemas.openxmlformats.org/officeDocument/2006/relationships/hyperlink" Target="https://www.stoxx.com/document/Indices/Common/Indexguide/istoxx_fund_indices_methodology_guide.pdf" TargetMode="External"/><Relationship Id="rId52" Type="http://schemas.openxmlformats.org/officeDocument/2006/relationships/hyperlink" Target="https://etfdb.com/etf/RLY/" TargetMode="External"/><Relationship Id="rId96" Type="http://schemas.openxmlformats.org/officeDocument/2006/relationships/hyperlink" Target="https://www.alliancebernstein.com/us/en-us/investments/insights/investment-insights/harmonizing-portfolio-exposures-cross-asset-insights-for-2026.html" TargetMode="External"/><Relationship Id="rId11" Type="http://schemas.openxmlformats.org/officeDocument/2006/relationships/image" Target="media/image4.png"/><Relationship Id="rId55" Type="http://schemas.openxmlformats.org/officeDocument/2006/relationships/hyperlink" Target="https://www.stoxx.com/document/Indices/Common/Indexguide/istoxx_strategy_indices_methodology_guide.pdf" TargetMode="External"/><Relationship Id="rId10" Type="http://schemas.openxmlformats.org/officeDocument/2006/relationships/image" Target="media/image11.png"/><Relationship Id="rId54" Type="http://schemas.openxmlformats.org/officeDocument/2006/relationships/hyperlink" Target="https://www.solactive.com/downloads/Solactive-Mutual-Fund-Series-1-Index-v1.0.pdf" TargetMode="External"/><Relationship Id="rId13" Type="http://schemas.openxmlformats.org/officeDocument/2006/relationships/image" Target="media/image8.png"/><Relationship Id="rId57" Type="http://schemas.openxmlformats.org/officeDocument/2006/relationships/hyperlink" Target="https://www.nerdwallet.com/investing/learn/betterment-vs-wealthfront" TargetMode="External"/><Relationship Id="rId12" Type="http://schemas.openxmlformats.org/officeDocument/2006/relationships/image" Target="media/image7.png"/><Relationship Id="rId56" Type="http://schemas.openxmlformats.org/officeDocument/2006/relationships/hyperlink" Target="https://invest.wealthfront.com/wealthfront-vs-betterment" TargetMode="External"/><Relationship Id="rId91" Type="http://schemas.openxmlformats.org/officeDocument/2006/relationships/hyperlink" Target="https://www.troweprice.com/institutional/us/en/insights/articles/2026/q1/revisiting-asset-allocation-in-an-ai-world-na.html" TargetMode="External"/><Relationship Id="rId90" Type="http://schemas.openxmlformats.org/officeDocument/2006/relationships/hyperlink" Target="https://www.alliancebernstein.com/us/en-us/investments/insights/retirement-insights/bringing-the-private-asset-dimension-to-target-date-glide-paths.html" TargetMode="External"/><Relationship Id="rId93" Type="http://schemas.openxmlformats.org/officeDocument/2006/relationships/hyperlink" Target="https://discovery.researcher.life/article/problems-and-limitations-of-using-machine-learning-to-solve-problems-in-the-construction-sector/a84a0fb3faec3058ba54d50d420c36b1" TargetMode="External"/><Relationship Id="rId92" Type="http://schemas.openxmlformats.org/officeDocument/2006/relationships/hyperlink" Target="https://www.blackrock.com/us/financial-professionals/insights/ai-disruption-investing" TargetMode="External"/><Relationship Id="rId15" Type="http://schemas.openxmlformats.org/officeDocument/2006/relationships/image" Target="media/image12.png"/><Relationship Id="rId59" Type="http://schemas.openxmlformats.org/officeDocument/2006/relationships/hyperlink" Target="https://frec.com/resources/blog/wealthfront-vs-betterment-choosing-the-best-robo-advisor" TargetMode="External"/><Relationship Id="rId14" Type="http://schemas.openxmlformats.org/officeDocument/2006/relationships/image" Target="media/image6.png"/><Relationship Id="rId58" Type="http://schemas.openxmlformats.org/officeDocument/2006/relationships/hyperlink" Target="https://invest.wealthfront.com/wealthfront-v-betterment" TargetMode="External"/><Relationship Id="rId17" Type="http://schemas.openxmlformats.org/officeDocument/2006/relationships/image" Target="media/image3.png"/><Relationship Id="rId16" Type="http://schemas.openxmlformats.org/officeDocument/2006/relationships/image" Target="media/image1.png"/><Relationship Id="rId19" Type="http://schemas.openxmlformats.org/officeDocument/2006/relationships/hyperlink" Target="https://indexes.morningstar.com/api/docs/68e4925b33573d2f9d166999" TargetMode="External"/><Relationship Id="rId18" Type="http://schemas.openxmlformats.org/officeDocument/2006/relationships/hyperlink" Target="https://indexes.morningstar.com/api/docs/68c49fc3356bcfe668729f3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