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宏观经济周期理论演进与大类资产配置策略的深度解构及AI本土化应用报告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宏观经济周期的经典理论体系与系统论底层逻辑</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宏观经济周期代表着人类工业社会运作的内在基本秩序。在极其复杂的金融经济系统中，股票指数、债券收益率、物价指数以及各类信贷脉冲等可观测的金融变量，本质上是高维复杂系统在低维平面的客观投影</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长期以来，精准测度经济周期的运行轨迹并据此进行科学的大类资产配置，是金融工程、量化对冲与宏观研究领域的核心命题。随着全球化分工的深化、各国央行货币政策的非传统化演进，以及地缘政治博弈的加剧，经典的经济周期理论在实际应用中面临着变异与挑战，这促使学界与业界不断对资产配置框架进行数理拓展、重构与本土化修正</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经济系统是一个由无数微观主体交互构成的开放性复杂系统。在这个系统中，经济周期的产生并非偶然的随机游走，而是系统进化的必然结果。根据系统论与控制论的核心原理，正反馈机制推动系统向某一方向扩张，而负反馈机制则抑制这种运动，两者的交织作用形成了可以被量化测度的周期性波动</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。从自然科学中系统进化的一般规律来看，最大化熵产生原理是系统演化的根本动力，而功能敏感性和突变稳定性则是系统功能的整体目标，这种秩序的产生最终外化为多维度的宏观经济周期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。人类的经济决策在群体心理的驱动下，往往会在极度悲观与极度乐观之间形成钟摆效应，这种基于人性贪婪与恐惧的反馈机制，使得周期规律在数百年间不断重演</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在经济学发展史上，学者们基于不同的观测维度与时间尺度，提出了多种周期理论。这些理论相互嵌套，共同构成了现代宏观对冲交易的理论基石。著名经济学家约瑟夫·熊彼特（Joseph Schumpeter）于1939年提出了经典的多重周期嵌套理论（Multi-cyclical Schema），他指出经济的总体周期性波动实际上是由独立周期叠加而成的，这为后世理解宏观经济周期的共振现象奠定了理论基础</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第一，**基钦周期（Kitchin Cycle）**是最具代表性的短波周期，其平均长度约为四十二个月左右。该周期主要由企业的库存行为驱动，单个企业为了缓冲外部需求的不确定性风险，会主动降低内部效率并优化库存区域；在利润最大化这一强相互作用力的驱使下，众多微观企业的库存调整行为逐渐趋同，最终在宏观层面引发了规律性的库存累积与去化循环</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。基钦周期直接关系到企业的营运资金周转与短期盈利表现，是决定股票市场短期牛熊转换的最核心驱动力</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。在中国市场，一轮完整的经济短周期通常为3至4年，其中经济的上行和下行阶段通常各持续1.5年至2年</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第二，**朱格拉周期（Juglar Cycle）**是持续时间约为一百个月的中波周期。该周期反映了工业体系对外部环境的适应过程，其核心驱动力在于企业的资本性支出（CAPEX）与机械设备的更新换代</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。当经济扩张导致现有产能利用率饱和时，企业会开启新一轮的资本开支周期，带动机械设备、厂房建设等中游制造业的繁荣；而当产能过剩时，资本开支的收缩则会引发中周期的衰退</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第三，**库兹涅茨周期（Kuznets Cycle）**的长度通常在两百个月左右，属于长波周期。这一周期主要与建筑业、基础设施投资以及人口结构的代际变迁高度相关。人口的出生率波动、家庭组建的周期性以及城市化进程的推进，共同构成了库兹涅茨周期的底层驱动力，深刻影响着一国经济的长期潜在增长率</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第四，**康德拉季耶夫周期（Kondratieff Wave，简称康波周期）**是关于“系统动能”的极长波周期，跨度通常达五十至六十年。康波周期产生于生产力与生产关系的深层矛盾运动，核心驱动力是颠覆性的技术革命和产业变迁</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。从耗散结构理论的视角来看，代谢者通过颠覆性技术创新维持系统秩序并获取超额利润，吸引大量复制者涌入，最终推高资源消耗直至萧条，再孕育新的创新蜂聚</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。在全球宏观背景下，当前正处于由人工智能（AI）、云计算和大数据等新一代颠覆性技术驱动的第六次康波周期之中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周期理论名称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理论提出者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经验长度测度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核心驱动因素与微观基础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周期系统属性分类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基钦周期 (Kitchin Cycle)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约瑟夫·基钦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3-5年 (约42个月)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企业预期、库存管理、资金流动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系统功能与结构周期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朱格拉周期 (Juglar Cycle)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克莱门特·朱格拉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7-11年 (约100个月)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设备更新换代、企业资本性支出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系统功能与结构周期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库兹涅茨周期 (Kuznets Cycle)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西蒙·库兹涅茨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15-25年 (约200个月)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建筑业兴衰、基础设施建设、人口</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系统功能与结构周期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康波周期 (Kondratieff Wave)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尼古拉·康德拉季耶夫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50-60年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颠覆性技术创新、产业变迁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系统宏观动能周期</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关于周期驱动资产配置的历史可以追溯到1937年《伦敦晚报》首次提出的“投资时钟”理论雏形</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。通过对1802年至1990年间发生的41次经济衰退的深度历史统计分析，量化回测表明，在约93%的样本案例中，股票市场作为领先指标，均出现了提前或同步于经济基本面超过8%的系统性下跌</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。这一跨越百年的统计规律，为利用周期理论指导资本市场前瞻性配置提供了不可辩驳的统计学支撑</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经济周期信号的频域解构与数理验证机制</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彻底摆脱肉眼观测与主观经验判断的局限性，现代金融工程引入了严格的信号处理技术对经济周期进行定量验证。经济系统产生的数据不仅包含反映基本面趋势的低频信号，还充斥着由市场情绪、流动性冲击等地缘政治噪音构成的高频干扰。因此，从时域向频域的数学转换成为了量化宏观研究的核心底层技术。</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研究人员广泛采用傅里叶变换（Fourier Transform）与小波变换（Wavelet Transform），对全球海量资产价格（涵盖股票、债券、外汇及大宗商品）和宏观经济指标（CPI、PPI、PMI等）进行解构</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。傅里叶变换通过将时域信号表示为不同频率正弦波的叠加，其输出的功率谱密度严密证实了四十二个月（基钦）、一百个月（朱格拉）与两百个月（库兹涅茨）周期在频率域上的普遍存在</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傅里叶变换在处理非平稳经济时间序列时存在缺乏时间分辨率的内生缺陷。为此，小波变换被引入体系中，它通过平移和缩放母小波函数，不仅能够精确提取经济变量的频率特征，还能提供高精度的时间定位，进一步验证了这些宏观周期信号在时间轴上的持续稳定性与局部突变特征</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更进一步的数理验证引入了阵列信号处理领域的MUSIC（多重信号分类，Multiple Signal Classification）算法。该算法最初用于雷达和声纳系统中的波达方向估计，现代量化宏观研究将其创新性地应用于经济数据分析，将海量的国民经济指标视作接收系统信号的“传感器天线阵列”</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。通过构造经济指标序列的协方差矩阵并对其进行特征值分解，MUSIC算法能够将观测空间严密正交划分为信号子空间（Signal Subspace）与噪声子空间（Noise Subspace）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。由于真实经济周期的频率向量与噪声子空间正交，该算法能够以极高的分辨率，从强随机波动背景中提取出底层的周期频率</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。这种跨学科的纯数学验证，彻底证明了经典的长中短经济周期的确是推动整个宏观经济系统运行的“统一信号源”，其运行规律不受单一国家市场制度或投资者结构差异的根本性干扰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现代大类资产配置模型的数理演进与因子轮动</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在精确识别宏观周期状态的基础上，大类资产配置旨在通过最优的资金分配算法，实现风险调整后收益（Risk-adjusted Return）的最大化。过去七十年来，资产配置的方法论经历了从静态均值方差到动态贝叶斯推断，再到贝叶斯风险平价融合的深刻演进。</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从均值-方差优化到Black-Litterman贝叶斯推断</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1952年，马科维茨（Harry Markowitz）提出的均值-方差模型（Mean-Variance Optimization, MVO）首次采用数学语言对收益与风险进行了精确定义，奠定了现代投资组合理论的数学基础</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该模型通过求解预期收益向量与协方差矩阵，在给定风险容忍度下寻找夏普比率最高的最优权重组合。早期的实证研究支持了这一理论的有效性，例如有研究基于美国股市、中小盘股、各期限国债与企业债、房地产及海外市场等九大类资产，结合NBER经济周期分类构建Markowitz有效前沿，结果表明MVO组合在经济扩张期能跑赢买入持有策略3.5%，而在衰退期则能以79.034%的惊人幅度跑赢静态策略</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MVO模型在后续的真实投资实践中暴露出极高的“误差最大化效应”：如果单纯依赖历史数据计算预期收益与方差的估计值，微小的输入误差会被二次规划优化器无限放大，导致输出的配置权重出现极端偏离或高度集中的情况，严重降低了模型的样本外有效性和鲁棒性</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为解决这一内生痛点，高盛的Fischer Black和Robert Litterman于1992年提出了Black-Litterman（B-L）模型，成功引入了贝叶斯统计推断的思想</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B-L模型不再直接将历史收益均值作为输入，而是采用反向优化技术，从一个风险收益最优的市场均衡组合（通常为市值加权市场组合）出发，倒推出市场隐含的均衡预期收益率，并将其作为贝叶斯先验分布（Prior Distribution）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。在此基础上，投资者可以根据自身对宏观周期的研判输入主观观点向量以及对应的置信度矩阵</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。B-L模型通过严密的贝叶斯更新公式，将先验分布与主观观点分布融合，生成更加稳定、平滑且符合经济逻辑的后验分布，最终求解出高度鲁棒的资产配置权重，有效克服了传统MVO模型资产权重极端化的问题</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因子轮动模型与贝叶斯风险平价（Bayesian Risk Parity）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在B-L模型发展的同时，因子轮动策略与风险平价理念也迎来了范式转移。早期的研究（如Lucas、Van Dijk等人在2002年的研究）已开始将季调后的领先指标与利差数据融入资产收益因子模型中，证明了复合的宏观因子轮动策略显著优于单一统计轮动模型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。而传统的“股债60/40组合”虽然在名义权重上均衡，但由于股票波动率通常是债券的三至四倍，超过90%的组合总风险实际上暴露在权益因子上</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。为此，风险平价（Risk Parity）理论摒弃了对预期收益率的主观预测，其优化目标是使组合内各资产的边际风险贡献（Marginal Risk Contribution, MRC）与总风险贡献相等，从而在面对通胀与增长的意外冲击时展现出极强的韧性</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近期的前沿理论突破在于“贝叶斯风险平价框架”（Bayesian Risk Parity）的提出。该框架成功将Black-Litterman算法、外生贝塔（Exotic Betas，如横截面动量因子、低波动率因子）以及风险平价融为一体</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传统的B-L模型中，先验分布高度依赖于资产的市值权重，但这在面对对冲基金、大宗商品等缺乏清晰市值的资产类时显得捉襟见肘。贝叶斯风险平价框架创新性地利用“风险平价组合”作为B-L模型优化的有效起始基准，并将异质性因子的超额收益预期作为B-L模型的先验Alpha观点</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。这种融合不仅在理论上解决了市值权重的缺失问题，还使得投资者在不必须复制复杂的外生贝塔组合的情况下，依然能够捕获各类宏观因子在不同周期下的结构性溢价</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步入第六次康波：AI大模型驱动的资产配置范式革命</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入由人工智能、大数据主导的第六次康波周期，AI技术的爆发正在彻底重塑量化投资的底层逻辑与工程实现。尽管Black-Litterman模型在数学上无懈可击，但其在实操中的核心挑战始终是：如何系统性地生成客观、高质量且具有前瞻性的“主观观点矩阵”（Investor Views）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。最新的前沿学术研究与业界实践证明，将大语言模型（LLMs）及深度学习引入B-L框架，能够实现投资组合风险调整后收益的显著跃升</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LLMs作为宏观预期观点生成器</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在AI增强型的B-L优化框架（AI-enhanced BL model）中，人工智能不再局限于简单的多因子筛选。研究人员开始广泛利用ChatGPT等大语言模型处理海量非结构化文本数据，包括宏观新闻、全球央行声明、产业链研报及社交媒体情感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。LLMs能够高效提取并合成广泛的分析师一致性预期（Analyst Consensus），并将其自动转化为具体的资产收益预测及相应的置信度水平，这些定量输出随后被直接用作B-L模型的输入参数</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这一混合方法的革命性在于，它完美融合了自然语言处理（NLP）在信息广度上的定性优势与B-L模型的定量严谨性</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。传统的现代投资组合理论（MPT）高度依赖向后看（Backward-looking）的历史均值，极易产生估计误差；而AI生成的观点是向前看（Forward-looking）的，有效对冲了人类基金经理的主观偏见与认知盲区</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通过对标普500成分股及涵盖股票、商品、固收、加密货币的多资产回测，这种LLM驱动的投资组合在绝对收益和夏普比率上，一致且显著地跑赢了传统均值-方差基准与未调整的B-L模型，并且在经过百余次随机重采样测试后展现出了极高的稳健性</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。值得注意的是，不同的大模型甚至展现出了各自独特且一致的“投资风格”，模型选择本质上已成为对特定宏观区制下投资风格的战略选择</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深度学习与动态环境适应</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除了LLMs，深度学习（Deep Learning）网络也在预测金融序列的条件分布方面取得了突破。一项前沿研究结合了技术指标数据集（TD）与基于Refinitiv MarketPsych的全球情绪数据集（SD），利用深度学习模型预测市场价格，并将这些预测整合进B-L框架中</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结果显示，在极度动态的市场环境中，融合了技术与情感信号的组合（TSD模型）在较低风险厌恶水平（λ=1）下表现最佳，这为增长导向型配置提供了强大的策略支持；而在高波动（危机）区制下，基于纯技术数据的预测则展现出更强的抗回撤能力</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。此外，基于近似贝叶斯计算马尔可夫链蒙特卡洛方法（ABC-MCMC）的动态CAPM模型，正在替代传统的历史均值法来动态估计预期收益与条件贝塔，使生成的预期收益更敏锐地反映资产的结构性状态</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普林格经济周期六段论、本土化重构与“叠加态”微观验证</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在宏观基本面向资产价格传导的过程中，马丁·普林格（Martin J. Pring）提出的经济周期六阶段理论（即“经济火车”模型）提供了极为清晰的资产轮动次序指引</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该理论认为，随着中央银行在衰退期注入流动性，系统会依次经历利率下降（导致债券率先走牛）、股票触底反弹（由于贴现率下降与预期改善），以及最终随着闲置产能出清带来的实体需求攀升而引发大宗商品上涨</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。相反的过程则导致紧缩与衰退，这就将经济周期精细切分为从阶段I（深度衰退）到阶段VI（全面衰退）的六个连续状态</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普林格六阶段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宏观经济与政策环境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债券市场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股票市场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商品市场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核心资产配置与风险暴露策略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 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经济深度衰退，通缩压力显现，央行开启宽松货币政策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牛市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熊市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熊市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债券唯一牛市，超配高质量国债，维持高现金，规避周期股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 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经济触底反弹，企业盈利预期开始改善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牛市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牛市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熊市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股债双牛，股票头寸提至最高，优选金融、公用事业等通缩敏感型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 III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经济全面扩张，闲置产能出清，通胀温和抬头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牛市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牛市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牛市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三市同牛，股票向科技、工业制造切换，战略建仓抗通胀商品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 IV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经济过热，劳动力与资源遭遇瓶颈，央行被迫加息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熊市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牛市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牛市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债券步入熊市，全面抛售长久期债券，重仓大宗商品及上游原材料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 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紧缩政策显效，高融资成本挤压利润，典型的“滞胀”阶段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熊市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熊市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牛市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仅商品维持牛市，股市转入防御，随时准备获利了结资源股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 VI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经济陷入衰退，需求断崖式下跌，流动性阶段性枯竭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熊市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熊市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熊市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三市同熊，“现金为王”，耐心等待贴现率下调与右侧确认信号</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周期理论的中国本土化修正与“叠加态”框架</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尽管西方经典的普林格六阶段逻辑严密，但在中国市场应用时，往往会遭遇由于宏观数据结构性差异与强力政策逆周期干预带来的“水土不服”</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。中国宏观经济长期处于强有力的逆周期调节政策熨平之下，典型的西方衰退和复苏阶段界限模糊。因此，基于中国特殊的经济运行规律，学界与业界对该模型进行了深度的本土化重构。</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第一，同步指标的决定性权重与VAR模型外推。</w:t>
      </w:r>
      <w:r w:rsidDel="00000000" w:rsidR="00000000" w:rsidRPr="00000000">
        <w:rPr>
          <w:rFonts w:ascii="Google Sans" w:cs="Google Sans" w:eastAsia="Google Sans" w:hAnsi="Google Sans"/>
          <w:color w:val="1f1f1f"/>
          <w:rtl w:val="0"/>
        </w:rPr>
        <w:t xml:space="preserve"> 在构建中国版普林格周期时，分析体系由先行指标（如M1与社融脉冲）、同步指标（如工业增加值、PPI）和滞后指标（如通胀）三大系统构成</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。实战预判往往面临关键指标数据缺失的困境。为了明确各指标的权重，研究人员采用后验变量法（净值对比测试）证实，同步指标对周期阶段的确认具有最高重要性，一旦缺失会导致策略净值大幅回撤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为了解决预测同步指标的固有难题，现代量化研究引入了向量自回归（VAR）模型。由于PPI及工业增加值等宏观变量具有显著的自回归特征，利用VAR模型对这些指标的演化路径进行结构化外推，有效提升了对经济状态识别的前瞻准确度</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第二，引入微观利差进行宏观交叉验证。</w:t>
      </w:r>
      <w:r w:rsidDel="00000000" w:rsidR="00000000" w:rsidRPr="00000000">
        <w:rPr>
          <w:rFonts w:ascii="Google Sans" w:cs="Google Sans" w:eastAsia="Google Sans" w:hAnsi="Google Sans"/>
          <w:color w:val="1f1f1f"/>
          <w:rtl w:val="0"/>
        </w:rPr>
        <w:t xml:space="preserve"> 鉴于单一宏观基本面数据的外推极易因基数效应（Base Effect，如疫情后的数据剧烈波动）产生扭曲，必须引入金融市场的微观交易数据进行交叉验证。例如，在判断经济是否会从阶段V（滞胀）直接崩塌至阶段VI（全局性萧条）时，宏观量化体系引入了信用利差与期限利差的双重维度。历史实证显示，只有当信用利差和期限利差双双处于极低位时，市场才会陷入彻底的流动性陷阱与萧条；而在两者位于历史均值或中部区域时，经济系统则具备较强的内生抗压性，滑向深渊的概率极低</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第三，跨周期调节催生的“叠加态”逻辑。</w:t>
      </w:r>
      <w:r w:rsidDel="00000000" w:rsidR="00000000" w:rsidRPr="00000000">
        <w:rPr>
          <w:rFonts w:ascii="Google Sans" w:cs="Google Sans" w:eastAsia="Google Sans" w:hAnsi="Google Sans"/>
          <w:color w:val="1f1f1f"/>
          <w:rtl w:val="0"/>
        </w:rPr>
        <w:t xml:space="preserve"> 历史复盘表明，自2004年以来，中国市场共出现过三次典型的阶段V（滞胀）形态，分别位于2004年、2009年至2011年，以及2018年</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由于中国央行频繁使用降准等具有“跨周期”特征的刺激工具，经济阶段的演化不再呈现线性的单向传导。例如，当滞后指标受到供给端约束上行（呈现滞胀特征），而同步指标因低基数效应呈下降趋势，同时政策已开始释放流动性（如全面降准拉动先行指标M1企稳）时，中国宏观经济实际上处于“阶段I（政策底）与阶段II（复苏确认）的叠加态”</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。这种“叠加态”的定义，彻底打破了经典投资时钟机械的象限划分，使战术配置更加贴近中国强政策驱动的宏观现实。</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股债双杀破局、行业板块与风格的微观轮动机制</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在宏观周期框架下，股票市场内部并非同涨同跌的整体，其板块及风格因子受到贴现率、通胀率以及剩余流动性的异质性影响，呈现出清晰的梯次轮动（Sector Rotation）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行业轮动与周期传导链条</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按照对宏观变量敏感度的差异，行业板块被严密划分为两大阵营：</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通货紧缩敏感行业组（早周期领导者）：</w:t>
      </w:r>
      <w:r w:rsidDel="00000000" w:rsidR="00000000" w:rsidRPr="00000000">
        <w:rPr>
          <w:rFonts w:ascii="Google Sans" w:cs="Google Sans" w:eastAsia="Google Sans" w:hAnsi="Google Sans"/>
          <w:color w:val="1f1f1f"/>
          <w:rtl w:val="0"/>
        </w:rPr>
        <w:t xml:space="preserve"> 以金融（银行、券商、保险）和公用事业为代表。在经济周期进入阶段I至阶段II（即信用扩张前期），央行释放流动性压低贷款贴现率，金融机构负债端成本骤降，净息差扩张</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。在中国市场的实证中，历史上的每一次信用扩张周期（如2008年和2018年的政策底确认后），由于高杠杆率对财务成本的极度敏感，大金融板块往往成为吹响牛市号角的破局先锋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通货膨胀敏感行业组（晚周期领导者）：</w:t>
      </w:r>
      <w:r w:rsidDel="00000000" w:rsidR="00000000" w:rsidRPr="00000000">
        <w:rPr>
          <w:rFonts w:ascii="Google Sans" w:cs="Google Sans" w:eastAsia="Google Sans" w:hAnsi="Google Sans"/>
          <w:color w:val="1f1f1f"/>
          <w:rtl w:val="0"/>
        </w:rPr>
        <w:t xml:space="preserve"> 随着经济周期迈入过热与滞胀阶段（阶段IV至阶段V），原材料、能源（石油、有色金属、采矿）等位于产业链最上游的行业，因掌握资源绝对定价权，其终端产品的价格涨幅远超生产成本，成为战胜通胀的核心避风港</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中国A股市场，这种轮动表现出极具本土特色的“消费—制造—原料”传导链条：复苏初期由下游消费板块领涨（依托于居民需求端预期的实质性改善），随后向中游制造扩散（由于产能利用率回升带动的资本开支），最终在全面繁荣与通胀起势时由上游原料板块展现最强的超额收益爆发力</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风格因子的周期共振（成长 vs 价值）</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从风格（Style）投资层面来看，</w:t>
      </w:r>
      <w:r w:rsidDel="00000000" w:rsidR="00000000" w:rsidRPr="00000000">
        <w:rPr>
          <w:rFonts w:ascii="Google Sans" w:cs="Google Sans" w:eastAsia="Google Sans" w:hAnsi="Google Sans"/>
          <w:b w:val="1"/>
          <w:bCs w:val="1"/>
          <w:color w:val="1f1f1f"/>
          <w:rtl w:val="0"/>
        </w:rPr>
        <w:t xml:space="preserve">大小盘风格、成长（Growth）与价值（Value）的极致切换</w:t>
      </w:r>
      <w:r w:rsidDel="00000000" w:rsidR="00000000" w:rsidRPr="00000000">
        <w:rPr>
          <w:rFonts w:ascii="Google Sans" w:cs="Google Sans" w:eastAsia="Google Sans" w:hAnsi="Google Sans"/>
          <w:color w:val="1f1f1f"/>
          <w:rtl w:val="0"/>
        </w:rPr>
        <w:t xml:space="preserve">与宏观信用周期高度绑定。量化实证表明，成长板块的超额收益与宏观环境中的“剩余流动性”指标存在极其深刻的线性正相关关系</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当经济处于信用收缩期时，市场风险偏好急剧降低，防御性的价值风格占据主导；而一旦信贷数据触底并开启信用扩张，流动性的充裕将大幅降低无风险利率，从而系统性提升对远期现金流的估值溢价，使得高弹性成长风格迅速接过领涨接力棒</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应对“股债双杀”的复合量化择时</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整个经济周期的运行中，对投资组合杀伤力最大的莫过于“滞涨”阶段引发的“股债双杀”现象。基于“经济增速”与“通胀增速”的双维判定框架，当宏观经济景气指数同比放缓，而CPI同比增速持续飙升时，系统陷入典型的滞涨象限</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。此时，央行为了压制通胀无法通过降息救市，高企的贴现率同时压垮了股票的估值与债券的价格</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滞涨与衰退的边缘破局，量化配置引入了相对强度指标（RS）与确然指标（KST）。通过对多个不同时间窗口的平滑变动率进行加权求和，KST指标能够有效滤除短期地缘噪音。当通缩敏感板块的KST指标在高位死叉，而能源及上游原材料板块的KST指标在低位形成金叉并稳步上行时，便发出了规避股债双杀、转向实物资产防守的强烈量化预警</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。通过运用现代丰富的ETF工具矩阵（如挂钩金融的XLF、挂钩科技的XLK、挂钩能源的XLE，以及短久期国债ETF），机构投资者能够以极低的摩擦成本实现战略与战术风险敞口的瞬间切换与对冲保护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2026年宏观经济基本面验证与全球博弈</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步入2026年，中国宏观经济正处于一个由长波结构性新旧动能转换与短波基钦库存周期回升相互交织的微妙阶段。根据“六周期FOF配置模型”的量化跟踪，中国经济的宏观状态已确认跨越了自2023年末以来的长周期信用收缩泥潭，正式迈入</w:t>
      </w:r>
      <w:r w:rsidDel="00000000" w:rsidR="00000000" w:rsidRPr="00000000">
        <w:rPr>
          <w:rFonts w:ascii="Google Sans" w:cs="Google Sans" w:eastAsia="Google Sans" w:hAnsi="Google Sans"/>
          <w:b w:val="1"/>
          <w:bCs w:val="1"/>
          <w:color w:val="1f1f1f"/>
          <w:rtl w:val="0"/>
        </w:rPr>
        <w:t xml:space="preserve">信用扩张</w:t>
      </w:r>
      <w:r w:rsidDel="00000000" w:rsidR="00000000" w:rsidRPr="00000000">
        <w:rPr>
          <w:rFonts w:ascii="Google Sans" w:cs="Google Sans" w:eastAsia="Google Sans" w:hAnsi="Google Sans"/>
          <w:color w:val="1f1f1f"/>
          <w:rtl w:val="0"/>
        </w:rPr>
        <w:t xml:space="preserve">的新阶段</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内部基本面：信用扩张的确认与投资结构的优化</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这一周期转换的底层逻辑，在金融数据与实体经济的共振中得到了严密验证：</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中长贷脉冲反转：</w:t>
      </w:r>
      <w:r w:rsidDel="00000000" w:rsidR="00000000" w:rsidRPr="00000000">
        <w:rPr>
          <w:rFonts w:ascii="Google Sans" w:cs="Google Sans" w:eastAsia="Google Sans" w:hAnsi="Google Sans"/>
          <w:color w:val="1f1f1f"/>
          <w:rtl w:val="0"/>
        </w:rPr>
        <w:t xml:space="preserve"> 作为刻画“宽信用”周期最核心的先导指标，</w:t>
      </w:r>
      <w:r w:rsidDel="00000000" w:rsidR="00000000" w:rsidRPr="00000000">
        <w:rPr>
          <w:rFonts w:ascii="Google Sans" w:cs="Google Sans" w:eastAsia="Google Sans" w:hAnsi="Google Sans"/>
          <w:b w:val="1"/>
          <w:bCs w:val="1"/>
          <w:color w:val="1f1f1f"/>
          <w:rtl w:val="0"/>
        </w:rPr>
        <w:t xml:space="preserve">中长期贷款脉冲</w:t>
      </w:r>
      <w:r w:rsidDel="00000000" w:rsidR="00000000" w:rsidRPr="00000000">
        <w:rPr>
          <w:rFonts w:ascii="Google Sans" w:cs="Google Sans" w:eastAsia="Google Sans" w:hAnsi="Google Sans"/>
          <w:color w:val="1f1f1f"/>
          <w:rtl w:val="0"/>
        </w:rPr>
        <w:t xml:space="preserve">（新增中长贷TTM同比的三个月差分）在经历深度探底后强势回升，自前期极值-29%稳步上行突破至-24%以上，发出了极其明确的信用周期筑底扩张信号</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经济增速超预期复苏：</w:t>
      </w:r>
      <w:r w:rsidDel="00000000" w:rsidR="00000000" w:rsidRPr="00000000">
        <w:rPr>
          <w:rFonts w:ascii="Google Sans" w:cs="Google Sans" w:eastAsia="Google Sans" w:hAnsi="Google Sans"/>
          <w:color w:val="1f1f1f"/>
          <w:rtl w:val="0"/>
        </w:rPr>
        <w:t xml:space="preserve"> 2026年一季度宏观“成绩单”印证了信用扩张的传导效率。国内生产总值（GDP）同比增长达到5.0%，较上年四季度进一步加快0.5个百分点，为全年奠定了稳健的开局</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。与此同时，外贸出口展现出极强的韧性，一季度货物进出口总额同比增长高达15.0%，这表明在全球供应链重构背景下，中国完备的制造业产能优势依然是支撑基本盘的关键</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基建托底与制造业焕新：</w:t>
      </w:r>
      <w:r w:rsidDel="00000000" w:rsidR="00000000" w:rsidRPr="00000000">
        <w:rPr>
          <w:rFonts w:ascii="Google Sans" w:cs="Google Sans" w:eastAsia="Google Sans" w:hAnsi="Google Sans"/>
          <w:color w:val="1f1f1f"/>
          <w:rtl w:val="0"/>
        </w:rPr>
        <w:t xml:space="preserve"> 从投资结构来看，一季度固定资产投资扭转了此前下降3.8%的颓势，实现了1.7%的同比增长（扣除房地产后为4.8%）</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。其中，基础设施投资增长亮眼，达到8.9%</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得益于“十五五”规划重大项目的前置发力，以及财政端巨量资金的精准滴灌。例如，2026年4月，财政部按计划密集发行总额达340亿元的20年期超长期特别国债，全年更是规划发行达1.3万亿的超长特别国债用于重点基建项目的穿透式补充</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与此同时，制造业投资同比增长4.1%，其中高技术产业投资的高速增长与规模以上工业企业利润的强劲反弹（同比增长15.2%），表明以AI赋能和高端制造为代表的“新质生产力”正促使企业开启新一轮的朱格拉资本开支周期</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房地产深水区出清与存量盘活：</w:t>
      </w:r>
      <w:r w:rsidDel="00000000" w:rsidR="00000000" w:rsidRPr="00000000">
        <w:rPr>
          <w:rFonts w:ascii="Google Sans" w:cs="Google Sans" w:eastAsia="Google Sans" w:hAnsi="Google Sans"/>
          <w:color w:val="1f1f1f"/>
          <w:rtl w:val="0"/>
        </w:rPr>
        <w:t xml:space="preserve"> 虽然一季度房地产开发投资同比依然下降11.2%，但这符合中国宏观经济从“增量扩张向存量提质”转变的必然历史进程</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。去库存政策在2026年进入了依靠专项债注资进行实质性存量收购的攻坚阶段。数据显示，一季度房地产相关专项债发行额达2250亿元，同比大幅增长42%，其中城中村改造与土地收储专项债成为绝对主力</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。例如合肥市拟动用17.25亿资金实质性收购华侨城闲置土地，标志着地方政府通过“真金白银”盘活低效用地、阻断房企流动性风险传导链条的机制正在起效，房地产对宏观大盘的拖累正以可见的速度边际衰减</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外部流动性重塑：美联储降息与美元周期的终结</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在内部信用扩张的同时，2026年全球资产定价的外部锚点也发生了根本性反转。经过数年的通胀博弈，美国劳动力市场显现出“低招低裁”的疲软格局，美联储的货币政策路径已毫无悬念地走向宽松</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。机构预测与点阵图一致显示，美联储在完成年内高达三次、累计75基点的降息后，将在2026年与2027年继续稳步降息，每次25个基点，预计最终终端利率将大幅回落至3.00%至3.25%的区间</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在全球地缘政治层面，2026年一季度中东局势的演化深刻扰动了外汇与商品市场。美以对伊朗的摩擦曾导致霍尔木兹海峡受阻，避险情绪一度推动美元指数在3月底飙升至100.64这一近11个月新高</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。然而，随着美伊间关于解冻200亿美元资产换取浓缩铀库存备忘录谈判的实质性推进，战争风险溢价迅速消退</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。在“避险退潮”与“降息博弈”的双重打击下，美元多头开始动摇，美元指数被迫退守97.50至99.15的低迷区间</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中美货币周期的极致错位——中国在财政货币双宽下步入企稳复苏，而美国在降息通道中抑制衰退——为中国资产的重估提供了绝佳的外部环境。在套息交易解除与外资加速回流的共振下，人民币兑美元汇率在2026年4月强势升破6.82关口（中间价报6.86左右），年内累计升值超过6%，宣告了过去几年强势美元虹吸效应的终结</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2026年大类资产战略配置与战术落地研判</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内部信用周期扩张”与“外部全球流动性实质性宽松”的复合宏观推演，2026年的大类资产配置必须摒弃防守思维，战略性地向具备高弹性的风险资产与非美核心资产倾斜。结合AI大语言模型的分析共识与经典配置框架，具体战略部署如下：</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权益资产（A股）：战略性超配，紧扣成长风格与新质生产力主线</w:t>
      </w:r>
      <w:r w:rsidDel="00000000" w:rsidR="00000000" w:rsidRPr="00000000">
        <w:rPr>
          <w:rFonts w:ascii="Google Sans" w:cs="Google Sans" w:eastAsia="Google Sans" w:hAnsi="Google Sans"/>
          <w:color w:val="1f1f1f"/>
          <w:rtl w:val="0"/>
        </w:rPr>
        <w:t xml:space="preserve"> 在经济迈入阶段II（复苏/信用扩张前期）的背景下，A股迎来了由基本面盈利（EPS）修复与无风险利率下行（PE扩张）共振的“戴维斯双击”。历史回测表明，信用扩张区间A股具备显著的超额收益弹性（基于六周期模型择时年化超额可达6.9%，夏普比率超1.0）</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风格与板块轮动上，应坚定转向高弹性的**成长（Growth）**风格。产业政策明确将“科技自立自强”提升至引领地位，建议通过ETF矩阵重仓TMT（人工智能、算力、半导体自主可控）以及受益于需求端信心改善的大消费板块</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。近期AI算力龙头与光模块企业的业绩爆发式增长，印证了“新质生产力”正在取代房地产成为支撑权益市场长牛的核心基柱</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大宗商品：抗通胀、避险与能源转型的结构性配置</w:t>
      </w:r>
      <w:r w:rsidDel="00000000" w:rsidR="00000000" w:rsidRPr="00000000">
        <w:rPr>
          <w:rFonts w:ascii="Google Sans" w:cs="Google Sans" w:eastAsia="Google Sans" w:hAnsi="Google Sans"/>
          <w:color w:val="1f1f1f"/>
          <w:rtl w:val="0"/>
        </w:rPr>
        <w:t xml:space="preserve"> 2026年的商品市场将呈现出显著的内部分化。首先是</w:t>
      </w:r>
      <w:r w:rsidDel="00000000" w:rsidR="00000000" w:rsidRPr="00000000">
        <w:rPr>
          <w:rFonts w:ascii="Google Sans" w:cs="Google Sans" w:eastAsia="Google Sans" w:hAnsi="Google Sans"/>
          <w:b w:val="1"/>
          <w:bCs w:val="1"/>
          <w:color w:val="1f1f1f"/>
          <w:rtl w:val="0"/>
        </w:rPr>
        <w:t xml:space="preserve">贵金属（黄金、白银）</w:t>
      </w:r>
      <w:r w:rsidDel="00000000" w:rsidR="00000000" w:rsidRPr="00000000">
        <w:rPr>
          <w:rFonts w:ascii="Google Sans" w:cs="Google Sans" w:eastAsia="Google Sans" w:hAnsi="Google Sans"/>
          <w:color w:val="1f1f1f"/>
          <w:rtl w:val="0"/>
        </w:rPr>
        <w:t xml:space="preserve">：尽管中东停火协议可能引发黄金短期的技术性回调，但美联储降息带来的实际利率下行、美国高额债务压力以及全球央行的“去美元化”战略，使得黄金中长期的牛市逻辑坚不可摧，逢低建立并维持核心底仓是唯一的占优策略</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；同时，白银凭借其工业与金融的双重属性，有望在2026年向50至60美元/盎司的区间发起冲击，是绝佳的波段博弈标的</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。其次是</w:t>
      </w:r>
      <w:r w:rsidDel="00000000" w:rsidR="00000000" w:rsidRPr="00000000">
        <w:rPr>
          <w:rFonts w:ascii="Google Sans" w:cs="Google Sans" w:eastAsia="Google Sans" w:hAnsi="Google Sans"/>
          <w:b w:val="1"/>
          <w:bCs w:val="1"/>
          <w:color w:val="1f1f1f"/>
          <w:rtl w:val="0"/>
        </w:rPr>
        <w:t xml:space="preserve">工业金属（铜、铝）</w:t>
      </w:r>
      <w:r w:rsidDel="00000000" w:rsidR="00000000" w:rsidRPr="00000000">
        <w:rPr>
          <w:rFonts w:ascii="Google Sans" w:cs="Google Sans" w:eastAsia="Google Sans" w:hAnsi="Google Sans"/>
          <w:color w:val="1f1f1f"/>
          <w:rtl w:val="0"/>
        </w:rPr>
        <w:t xml:space="preserve">：在全球能源转型、算力中心建设及电网升级的庞大需求面前，铜与铝面临着严峻的供给侧约束。高盛等机构预测2026年全球铝市场将呈现110万吨的结构性错配，工业金属的战略配置价值极为突出</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。与之相反，受制于传统房地产与基建模式的见顶，缺乏总量爆发拉动的黑色系金属（螺纹钢、铁矿石）应维持低配战略，以规避过剩产能的出清风险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固定收益（国债）：缩短久期，强化战术防御与波段交易</w:t>
      </w:r>
      <w:r w:rsidDel="00000000" w:rsidR="00000000" w:rsidRPr="00000000">
        <w:rPr>
          <w:rFonts w:ascii="Google Sans" w:cs="Google Sans" w:eastAsia="Google Sans" w:hAnsi="Google Sans"/>
          <w:color w:val="1f1f1f"/>
          <w:rtl w:val="0"/>
        </w:rPr>
        <w:t xml:space="preserve"> 在名义GDP回升至5.0%的强劲基本面下，宏观通缩压力的消散严重削弱了长端国债的避险配置价值。更为严峻的是，2026年全年高达百万亿级的特别国债（含340亿单期发行的超长国债）与地方专项债的密集海量发行，将对债市资金面形成持续的供给侧冲击</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。中国主权CDS的近期回升也预示着无风险资产的定价正在重估</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因此，固收配置必须全面转入防御态势，大幅缩短投资组合的整体久期以规避利率上行风险。只有在央行为了对冲发债洪峰而实施超预期降准、降息的狭窄流动性窗口期内，才适宜通过灵敏的交易工具捕捉反弹的波段机会</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资产类别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2026年周期阶段趋势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核心宏观因子与量化驱动逻辑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战术组合落地建议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权益市场 (A股)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震荡上行（超配）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内部信用扩张确认；GDP增速5.0%带动盈利修复；外资回流共振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战略重仓TMT（算力/芯片）、先进制造与消费，全面拥抱成长风格溢价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外汇市场 (人民币)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持续升值（看多）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美联储降息至3.0-3.25%终点；中美周期错位导致资本回流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增配人民币计价核心资产，对冲高息美元理财浮亏敞口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大宗商品 (贵金属)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牛市延续（底仓持有）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实际利率下行；地缘尾部风险；去美元化进程不可逆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逢低增配黄金对冲法币信用贬值，利用ETF博弈白银高波段收益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大宗商品 (工业金属)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结构性看多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新能源转型与AI基础设施升级带来铜铝刚性需求缺口</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增持铜、铝资源企业敞口，享受供给约束带来的估值溢价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固定收益 (国债)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偏弱震荡（低配）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通胀温和抬头；巨量超长特别国债与专项债发行带来供给侧压力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缩短债券组合久期，密切监控信用利差，把握央行降准窗口的逆向交易</w:t>
            </w:r>
          </w:p>
        </w:tc>
      </w:tr>
    </w:tbl>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结语</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今高度非线性和极其复杂的全球宏观变局中，依靠单一的历史外推或主观直觉进行投资已无法适应现代金融市场的波诡云谲。通过将西方经典的康波、朱格拉等长短周期理论与中国特有的“宽货币-宽信用”逆周期调控机制深度融合，辅以傅里叶变换提取客观频率，以及应用大语言模型（LLMs）等最前沿的人工智能算法进行海量数据降噪与观点合成，现代大类资产配置体系已经完成了从主观定性分析向智能定量决策的深刻革命。立足2026年这一“信用扩张”与“全球降息”历史性交汇的确立期，深刻把握新质生产力对经济动能的重构逻辑，严格遵循周期轮动纪律，利用多元化的量化工具精准分配风险预算，方能在复杂的全球博弈中稳健跨越周期的波澜，实现长期资本的复利增长。</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PDF内容融入Word文档指南</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宏观经济和大类资产配置</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Portfolio Management: Risk Parity, Momentum and Black-Litterman Strategies. An examination of synergies and effective - MatheO, accessed April 20, 2026, </w:t>
      </w:r>
      <w:hyperlink r:id="rId6">
        <w:r w:rsidDel="00000000" w:rsidR="00000000" w:rsidRPr="00000000">
          <w:rPr>
            <w:rFonts w:ascii="Google Sans" w:cs="Google Sans" w:eastAsia="Google Sans" w:hAnsi="Google Sans"/>
            <w:color w:val="0000ee"/>
            <w:sz w:val="24"/>
            <w:szCs w:val="24"/>
            <w:u w:val="single"/>
            <w:rtl w:val="0"/>
          </w:rPr>
          <w:t xml:space="preserve">https://matheo.uliege.be/bitstream/2268.2/21547/4/THESIS_ELKHAWLIBassel_s213565.pdf</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Exotic Beta, and Varying Efficient Portfolios: An Integrated Approach - CME Group, accessed April 20, 2026, </w:t>
      </w:r>
      <w:hyperlink r:id="rId7">
        <w:r w:rsidDel="00000000" w:rsidR="00000000" w:rsidRPr="00000000">
          <w:rPr>
            <w:rFonts w:ascii="Google Sans" w:cs="Google Sans" w:eastAsia="Google Sans" w:hAnsi="Google Sans"/>
            <w:color w:val="0000ee"/>
            <w:sz w:val="24"/>
            <w:szCs w:val="24"/>
            <w:u w:val="single"/>
            <w:rtl w:val="0"/>
          </w:rPr>
          <w:t xml:space="preserve">https://www.cmegroup.com/education/files/black-litterman-exotic-betas-risk-parity-manuscript.pdf</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LLM-Enhanced Black-Litterman Portfolio Optimization - arXiv, accessed April 20, 2026, </w:t>
      </w:r>
      <w:hyperlink r:id="rId8">
        <w:r w:rsidDel="00000000" w:rsidR="00000000" w:rsidRPr="00000000">
          <w:rPr>
            <w:rFonts w:ascii="Google Sans" w:cs="Google Sans" w:eastAsia="Google Sans" w:hAnsi="Google Sans"/>
            <w:color w:val="0000ee"/>
            <w:sz w:val="24"/>
            <w:szCs w:val="24"/>
            <w:u w:val="single"/>
            <w:rtl w:val="0"/>
          </w:rPr>
          <w:t xml:space="preserve">https://arxiv.org/html/2504.14345v2</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AI recommendations in extending the Black-Litterman portfolio | International Journal of Intelligent Computing and Cybernetics | Emerald Publishing, accessed April 20, 2026, </w:t>
      </w:r>
      <w:hyperlink r:id="rId9">
        <w:r w:rsidDel="00000000" w:rsidR="00000000" w:rsidRPr="00000000">
          <w:rPr>
            <w:rFonts w:ascii="Google Sans" w:cs="Google Sans" w:eastAsia="Google Sans" w:hAnsi="Google Sans"/>
            <w:color w:val="0000ee"/>
            <w:sz w:val="24"/>
            <w:szCs w:val="24"/>
            <w:u w:val="single"/>
            <w:rtl w:val="0"/>
          </w:rPr>
          <w:t xml:space="preserve">https://www.emerald.com/ijicc/article/doi/10.1108/IJICC-03-2025-0137/1323389/The-role-of-AI-recommendations-in-extending-the</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Future-Proof Your Portfolio: Integrating AI Into Your Investment Strategy - ResearchGate, accessed April 20, 2026,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https://www.researchgate.net/publication/390107143_Future-Proof_Your_Portfolio_Integrating_AI_Into_Your_Investment_Strategy</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behavioral insights and quantitative finance: AI-powered Black–Litterman framework with technical and sentiment signals - IDEAS/RePEc, accessed April 20, 2026, </w:t>
      </w:r>
      <w:hyperlink r:id="rId11">
        <w:r w:rsidDel="00000000" w:rsidR="00000000" w:rsidRPr="00000000">
          <w:rPr>
            <w:rFonts w:ascii="Google Sans" w:cs="Google Sans" w:eastAsia="Google Sans" w:hAnsi="Google Sans"/>
            <w:color w:val="0000ee"/>
            <w:sz w:val="24"/>
            <w:szCs w:val="24"/>
            <w:u w:val="single"/>
            <w:rtl w:val="0"/>
          </w:rPr>
          <w:t xml:space="preserve">https://ideas.repec.org/a/eee/riibaf/v84y2026ics0275531926000565.html</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Portfolio Optimization with Dynamic CAPM via ABC-MCMC - MDPI, accessed April 20, 2026, </w:t>
      </w:r>
      <w:hyperlink r:id="rId12">
        <w:r w:rsidDel="00000000" w:rsidR="00000000" w:rsidRPr="00000000">
          <w:rPr>
            <w:rFonts w:ascii="Google Sans" w:cs="Google Sans" w:eastAsia="Google Sans" w:hAnsi="Google Sans"/>
            <w:color w:val="0000ee"/>
            <w:sz w:val="24"/>
            <w:szCs w:val="24"/>
            <w:u w:val="single"/>
            <w:rtl w:val="0"/>
          </w:rPr>
          <w:t xml:space="preserve">https://www.mdpi.com/2227-7390/13/20/3265</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新闻1+1丨数据回暖、结构优化！专家解读一季度经济“成绩单”, accessed April 20, 2026, </w:t>
      </w:r>
      <w:hyperlink r:id="rId13">
        <w:r w:rsidDel="00000000" w:rsidR="00000000" w:rsidRPr="00000000">
          <w:rPr>
            <w:rFonts w:ascii="Google Sans" w:cs="Google Sans" w:eastAsia="Google Sans" w:hAnsi="Google Sans"/>
            <w:color w:val="0000ee"/>
            <w:sz w:val="24"/>
            <w:szCs w:val="24"/>
            <w:u w:val="single"/>
            <w:rtl w:val="0"/>
          </w:rPr>
          <w:t xml:space="preserve">https://cn.chinadaily.com.cn/a/202604/17/WS69e20843a310942cc49a8308.html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【敦煌风·开局看经济】增速5.0% 中国经济开局活力十足, accessed April 20, 2026, </w:t>
      </w:r>
      <w:hyperlink r:id="rId14">
        <w:r w:rsidDel="00000000" w:rsidR="00000000" w:rsidRPr="00000000">
          <w:rPr>
            <w:rFonts w:ascii="Google Sans" w:cs="Google Sans" w:eastAsia="Google Sans" w:hAnsi="Google Sans"/>
            <w:color w:val="0000ee"/>
            <w:sz w:val="24"/>
            <w:szCs w:val="24"/>
            <w:u w:val="single"/>
            <w:rtl w:val="0"/>
          </w:rPr>
          <w:t xml:space="preserve">https://gansu.gansudaily.com.cn/system/2026/04/17/031354844.shtml</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一季度投资好转背后, accessed April 20, 2026, </w:t>
      </w:r>
      <w:hyperlink r:id="rId15">
        <w:r w:rsidDel="00000000" w:rsidR="00000000" w:rsidRPr="00000000">
          <w:rPr>
            <w:rFonts w:ascii="Google Sans" w:cs="Google Sans" w:eastAsia="Google Sans" w:hAnsi="Google Sans"/>
            <w:color w:val="0000ee"/>
            <w:sz w:val="24"/>
            <w:szCs w:val="24"/>
            <w:u w:val="single"/>
            <w:rtl w:val="0"/>
          </w:rPr>
          <w:t xml:space="preserve">http://www.eeo.com.cn/2026/0417/842309.shtml</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财政部拟发行2026年超长期特别国债（一期） 总额340亿元, accessed April 20, 2026, </w:t>
      </w:r>
      <w:hyperlink r:id="rId16">
        <w:r w:rsidDel="00000000" w:rsidR="00000000" w:rsidRPr="00000000">
          <w:rPr>
            <w:rFonts w:ascii="Google Sans" w:cs="Google Sans" w:eastAsia="Google Sans" w:hAnsi="Google Sans"/>
            <w:color w:val="0000ee"/>
            <w:sz w:val="24"/>
            <w:szCs w:val="24"/>
            <w:u w:val="single"/>
            <w:rtl w:val="0"/>
          </w:rPr>
          <w:t xml:space="preserve">https://www.stcn.com/article/detail/3759478.html</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中信建投 | 国债发行计划微调不改债市偏强格局, accessed April 20, 2026, </w:t>
      </w:r>
      <w:hyperlink r:id="rId17">
        <w:r w:rsidDel="00000000" w:rsidR="00000000" w:rsidRPr="00000000">
          <w:rPr>
            <w:rFonts w:ascii="Google Sans" w:cs="Google Sans" w:eastAsia="Google Sans" w:hAnsi="Google Sans"/>
            <w:color w:val="0000ee"/>
            <w:sz w:val="24"/>
            <w:szCs w:val="24"/>
            <w:u w:val="single"/>
            <w:rtl w:val="0"/>
          </w:rPr>
          <w:t xml:space="preserve">https://finance.sina.com.cn/wm/2026-04-19/doc-inhuzxax9123156.shtml</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叒创历史新高！硬科技宽基——华宝基金双创50ETF（588330）劲涨2%！MACD指标提示，做多力量占据主导！, accessed April 20, 2026, </w:t>
      </w:r>
      <w:hyperlink r:id="rId18">
        <w:r w:rsidDel="00000000" w:rsidR="00000000" w:rsidRPr="00000000">
          <w:rPr>
            <w:rFonts w:ascii="Google Sans" w:cs="Google Sans" w:eastAsia="Google Sans" w:hAnsi="Google Sans"/>
            <w:color w:val="0000ee"/>
            <w:sz w:val="24"/>
            <w:szCs w:val="24"/>
            <w:u w:val="single"/>
            <w:rtl w:val="0"/>
          </w:rPr>
          <w:t xml:space="preserve">https://caifuhao.eastmoney.com/news/20260419201024068433210</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控增量、去库存、优供给——2026年我国房地产市场供给侧三大重点解读 - 陆河县, accessed April 20, 2026, </w:t>
      </w:r>
      <w:hyperlink r:id="rId19">
        <w:r w:rsidDel="00000000" w:rsidR="00000000" w:rsidRPr="00000000">
          <w:rPr>
            <w:rFonts w:ascii="Google Sans" w:cs="Google Sans" w:eastAsia="Google Sans" w:hAnsi="Google Sans"/>
            <w:color w:val="0000ee"/>
            <w:sz w:val="24"/>
            <w:szCs w:val="24"/>
            <w:u w:val="single"/>
            <w:rtl w:val="0"/>
          </w:rPr>
          <w:t xml:space="preserve">http://www.luhe.gov.cn/swlhzfjj/gkmlpt/content/1/1217/post_1217135.html</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控增量、去库存、优供给——2026年我国房地产市场供给侧三大重点解读 - 热点, accessed April 20, 2026, </w:t>
      </w:r>
      <w:hyperlink r:id="rId20">
        <w:r w:rsidDel="00000000" w:rsidR="00000000" w:rsidRPr="00000000">
          <w:rPr>
            <w:rFonts w:ascii="Google Sans" w:cs="Google Sans" w:eastAsia="Google Sans" w:hAnsi="Google Sans"/>
            <w:color w:val="0000ee"/>
            <w:sz w:val="24"/>
            <w:szCs w:val="24"/>
            <w:u w:val="single"/>
            <w:rtl w:val="0"/>
          </w:rPr>
          <w:t xml:space="preserve">https://news.southcn.com/node_812903b83a/9c67a506aa.shtml</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一季度房地产相关专项债大幅增长42% - 潮新闻, accessed April 20, 2026, </w:t>
      </w:r>
      <w:hyperlink r:id="rId21">
        <w:r w:rsidDel="00000000" w:rsidR="00000000" w:rsidRPr="00000000">
          <w:rPr>
            <w:rFonts w:ascii="Google Sans" w:cs="Google Sans" w:eastAsia="Google Sans" w:hAnsi="Google Sans"/>
            <w:color w:val="0000ee"/>
            <w:sz w:val="24"/>
            <w:szCs w:val="24"/>
            <w:u w:val="single"/>
            <w:rtl w:val="0"/>
          </w:rPr>
          <w:t xml:space="preserve">https://tidenews.com.cn/news.html?id=3420685</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美元指数进入危险区间：避险退潮+降息博弈，多头开始动摇 DXY下周行情展望（2026年4月20日—2026年4月24日）, accessed April 20, 2026, </w:t>
      </w:r>
      <w:hyperlink r:id="rId22">
        <w:r w:rsidDel="00000000" w:rsidR="00000000" w:rsidRPr="00000000">
          <w:rPr>
            <w:rFonts w:ascii="Google Sans" w:cs="Google Sans" w:eastAsia="Google Sans" w:hAnsi="Google Sans"/>
            <w:color w:val="0000ee"/>
            <w:sz w:val="24"/>
            <w:szCs w:val="24"/>
            <w:u w:val="single"/>
            <w:rtl w:val="0"/>
          </w:rPr>
          <w:t xml:space="preserve">https://cj.sina.cn/articles/view/5952915705/162d248f906702sqny?froms=ggmp</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高盛最新预测：美联储下半年降息3次9月“保险性”降息25基点, accessed April 20, 2026, </w:t>
      </w:r>
      <w:hyperlink r:id="rId23">
        <w:r w:rsidDel="00000000" w:rsidR="00000000" w:rsidRPr="00000000">
          <w:rPr>
            <w:rFonts w:ascii="Google Sans" w:cs="Google Sans" w:eastAsia="Google Sans" w:hAnsi="Google Sans"/>
            <w:color w:val="0000ee"/>
            <w:sz w:val="24"/>
            <w:szCs w:val="24"/>
            <w:u w:val="single"/>
            <w:rtl w:val="0"/>
          </w:rPr>
          <w:t xml:space="preserve">https://m.cls.cn/detail/2114677</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刚刚，全线大涨！美联储，降息大消息！ - 证券时报, accessed April 20, 2026, </w:t>
      </w:r>
      <w:hyperlink r:id="rId24">
        <w:r w:rsidDel="00000000" w:rsidR="00000000" w:rsidRPr="00000000">
          <w:rPr>
            <w:rFonts w:ascii="Google Sans" w:cs="Google Sans" w:eastAsia="Google Sans" w:hAnsi="Google Sans"/>
            <w:color w:val="0000ee"/>
            <w:sz w:val="24"/>
            <w:szCs w:val="24"/>
            <w:u w:val="single"/>
            <w:rtl w:val="0"/>
          </w:rPr>
          <w:t xml:space="preserve">https://www.stcn.com/article/detail/3522447.html</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美联储点阵图预测2026年和2027年各有一次25个基点的降息 - 财联社, accessed April 20, 2026, </w:t>
      </w:r>
      <w:hyperlink r:id="rId25">
        <w:r w:rsidDel="00000000" w:rsidR="00000000" w:rsidRPr="00000000">
          <w:rPr>
            <w:rFonts w:ascii="Google Sans" w:cs="Google Sans" w:eastAsia="Google Sans" w:hAnsi="Google Sans"/>
            <w:color w:val="0000ee"/>
            <w:sz w:val="24"/>
            <w:szCs w:val="24"/>
            <w:u w:val="single"/>
            <w:rtl w:val="0"/>
          </w:rPr>
          <w:t xml:space="preserve">https://www.cls.cn/detail/2225920</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新浪美联储热点小时报丨2026年04月17日09时_今日实时美联储热点速递, accessed April 20, 2026, </w:t>
      </w:r>
      <w:hyperlink r:id="rId26">
        <w:r w:rsidDel="00000000" w:rsidR="00000000" w:rsidRPr="00000000">
          <w:rPr>
            <w:rFonts w:ascii="Google Sans" w:cs="Google Sans" w:eastAsia="Google Sans" w:hAnsi="Google Sans"/>
            <w:color w:val="0000ee"/>
            <w:sz w:val="24"/>
            <w:szCs w:val="24"/>
            <w:u w:val="single"/>
            <w:rtl w:val="0"/>
          </w:rPr>
          <w:t xml:space="preserve">https://cj.sina.cn/articles/view/7857201856/1d45362c001904exjk?froms=ggmp</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有投资者1.2万美元存一年亏4000元，美元理财“稳赚”神话破灭, accessed April 20, 2026, </w:t>
      </w:r>
      <w:hyperlink r:id="rId27">
        <w:r w:rsidDel="00000000" w:rsidR="00000000" w:rsidRPr="00000000">
          <w:rPr>
            <w:rFonts w:ascii="Google Sans" w:cs="Google Sans" w:eastAsia="Google Sans" w:hAnsi="Google Sans"/>
            <w:color w:val="0000ee"/>
            <w:sz w:val="24"/>
            <w:szCs w:val="24"/>
            <w:u w:val="single"/>
            <w:rtl w:val="0"/>
          </w:rPr>
          <w:t xml:space="preserve">https://finance.sina.com.cn/roll/2026-04-19/doc-inhuzsuy1322397.shtml</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今日汇市晨报（2026年4月17日）：人民币兑美元中间价报6.8622，较前贬值6个基点, accessed April 20, 2026, </w:t>
      </w:r>
      <w:hyperlink r:id="rId28">
        <w:r w:rsidDel="00000000" w:rsidR="00000000" w:rsidRPr="00000000">
          <w:rPr>
            <w:rFonts w:ascii="Google Sans" w:cs="Google Sans" w:eastAsia="Google Sans" w:hAnsi="Google Sans"/>
            <w:color w:val="0000ee"/>
            <w:sz w:val="24"/>
            <w:szCs w:val="24"/>
            <w:u w:val="single"/>
            <w:rtl w:val="0"/>
          </w:rPr>
          <w:t xml:space="preserve">https://finance.sina.com.cn/wm/2026-04-17/doc-inhuuptn1078646.shtml</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有投资者1.2万美元存一年亏4000元，美元理财“稳赚”神话破灭, accessed April 20, 2026, </w:t>
      </w:r>
      <w:hyperlink r:id="rId29">
        <w:r w:rsidDel="00000000" w:rsidR="00000000" w:rsidRPr="00000000">
          <w:rPr>
            <w:rFonts w:ascii="Google Sans" w:cs="Google Sans" w:eastAsia="Google Sans" w:hAnsi="Google Sans"/>
            <w:color w:val="0000ee"/>
            <w:sz w:val="24"/>
            <w:szCs w:val="24"/>
            <w:u w:val="single"/>
            <w:rtl w:val="0"/>
          </w:rPr>
          <w:t xml:space="preserve">https://wap.eastmoney.com/a/202604193709920370.html</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金属行业迎来高光时刻2026年机会与风险并存 - 中国基金报, accessed April 20, 2026, </w:t>
      </w:r>
      <w:hyperlink r:id="rId30">
        <w:r w:rsidDel="00000000" w:rsidR="00000000" w:rsidRPr="00000000">
          <w:rPr>
            <w:rFonts w:ascii="Google Sans" w:cs="Google Sans" w:eastAsia="Google Sans" w:hAnsi="Google Sans"/>
            <w:color w:val="0000ee"/>
            <w:sz w:val="24"/>
            <w:szCs w:val="24"/>
            <w:u w:val="single"/>
            <w:rtl w:val="0"/>
          </w:rPr>
          <w:t xml:space="preserve">https://www.chnfund.com/article/AR20251220011506764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ews.southcn.com/node_812903b83a/9c67a506aa.shtml" TargetMode="External"/><Relationship Id="rId22" Type="http://schemas.openxmlformats.org/officeDocument/2006/relationships/hyperlink" Target="https://cj.sina.cn/articles/view/5952915705/162d248f906702sqny?froms=ggmp" TargetMode="External"/><Relationship Id="rId21" Type="http://schemas.openxmlformats.org/officeDocument/2006/relationships/hyperlink" Target="https://tidenews.com.cn/news.html?id=3420685" TargetMode="External"/><Relationship Id="rId24" Type="http://schemas.openxmlformats.org/officeDocument/2006/relationships/hyperlink" Target="https://www.stcn.com/article/detail/3522447.html" TargetMode="External"/><Relationship Id="rId23" Type="http://schemas.openxmlformats.org/officeDocument/2006/relationships/hyperlink" Target="https://m.cls.cn/detail/21146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erald.com/ijicc/article/doi/10.1108/IJICC-03-2025-0137/1323389/The-role-of-AI-recommendations-in-extending-the" TargetMode="External"/><Relationship Id="rId26" Type="http://schemas.openxmlformats.org/officeDocument/2006/relationships/hyperlink" Target="https://cj.sina.cn/articles/view/7857201856/1d45362c001904exjk?froms=ggmp" TargetMode="External"/><Relationship Id="rId25" Type="http://schemas.openxmlformats.org/officeDocument/2006/relationships/hyperlink" Target="https://www.cls.cn/detail/2225920" TargetMode="External"/><Relationship Id="rId28" Type="http://schemas.openxmlformats.org/officeDocument/2006/relationships/hyperlink" Target="https://finance.sina.com.cn/wm/2026-04-17/doc-inhuuptn1078646.shtml" TargetMode="External"/><Relationship Id="rId27" Type="http://schemas.openxmlformats.org/officeDocument/2006/relationships/hyperlink" Target="https://finance.sina.com.cn/roll/2026-04-19/doc-inhuzsuy1322397.shtml" TargetMode="External"/><Relationship Id="rId5" Type="http://schemas.openxmlformats.org/officeDocument/2006/relationships/styles" Target="styles.xml"/><Relationship Id="rId6" Type="http://schemas.openxmlformats.org/officeDocument/2006/relationships/hyperlink" Target="https://matheo.uliege.be/bitstream/2268.2/21547/4/THESIS_ELKHAWLIBassel_s213565.pdf" TargetMode="External"/><Relationship Id="rId29" Type="http://schemas.openxmlformats.org/officeDocument/2006/relationships/hyperlink" Target="https://wap.eastmoney.com/a/202604193709920370.html" TargetMode="External"/><Relationship Id="rId7" Type="http://schemas.openxmlformats.org/officeDocument/2006/relationships/hyperlink" Target="https://www.cmegroup.com/education/files/black-litterman-exotic-betas-risk-parity-manuscript.pdf" TargetMode="External"/><Relationship Id="rId8" Type="http://schemas.openxmlformats.org/officeDocument/2006/relationships/hyperlink" Target="https://arxiv.org/html/2504.14345v2" TargetMode="External"/><Relationship Id="rId30" Type="http://schemas.openxmlformats.org/officeDocument/2006/relationships/hyperlink" Target="https://www.chnfund.com/article/AR20251220011506764" TargetMode="External"/><Relationship Id="rId11" Type="http://schemas.openxmlformats.org/officeDocument/2006/relationships/hyperlink" Target="https://ideas.repec.org/a/eee/riibaf/v84y2026ics0275531926000565.html" TargetMode="External"/><Relationship Id="rId10" Type="http://schemas.openxmlformats.org/officeDocument/2006/relationships/hyperlink" Target="https://www.researchgate.net/publication/390107143_Future-Proof_Your_Portfolio_Integrating_AI_Into_Your_Investment_Strategy" TargetMode="External"/><Relationship Id="rId13" Type="http://schemas.openxmlformats.org/officeDocument/2006/relationships/hyperlink" Target="https://cn.chinadaily.com.cn/a/202604/17/WS69e20843a310942cc49a8308.html" TargetMode="External"/><Relationship Id="rId12" Type="http://schemas.openxmlformats.org/officeDocument/2006/relationships/hyperlink" Target="https://www.mdpi.com/2227-7390/13/20/3265" TargetMode="External"/><Relationship Id="rId15" Type="http://schemas.openxmlformats.org/officeDocument/2006/relationships/hyperlink" Target="http://www.eeo.com.cn/2026/0417/842309.shtml" TargetMode="External"/><Relationship Id="rId14" Type="http://schemas.openxmlformats.org/officeDocument/2006/relationships/hyperlink" Target="https://gansu.gansudaily.com.cn/system/2026/04/17/031354844.shtml" TargetMode="External"/><Relationship Id="rId17" Type="http://schemas.openxmlformats.org/officeDocument/2006/relationships/hyperlink" Target="https://finance.sina.com.cn/wm/2026-04-19/doc-inhuzxax9123156.shtml" TargetMode="External"/><Relationship Id="rId16" Type="http://schemas.openxmlformats.org/officeDocument/2006/relationships/hyperlink" Target="https://www.stcn.com/article/detail/3759478.html" TargetMode="External"/><Relationship Id="rId19" Type="http://schemas.openxmlformats.org/officeDocument/2006/relationships/hyperlink" Target="http://www.luhe.gov.cn/swlhzfjj/gkmlpt/content/1/1217/post_1217135.html" TargetMode="External"/><Relationship Id="rId18" Type="http://schemas.openxmlformats.org/officeDocument/2006/relationships/hyperlink" Target="https://caifuhao.eastmoney.com/news/202604192010240684332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