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2.png" ContentType="image/png"/>
  <Override PartName="/word/media/rId103.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603b4e5ec7b7b349e3ff0c15bc2b55cf8b51cf4"/>
    <w:p>
      <w:pPr>
        <w:pStyle w:val="Heading3"/>
      </w:pPr>
      <w:r>
        <w:rPr>
          <w:bCs/>
          <w:b/>
        </w:rPr>
        <w:t xml:space="preserve">Request from Reviewer 4: Revise title to better reflect content of publiction</w:t>
      </w:r>
      <w:r>
        <w:t xml:space="preserve"> </w:t>
      </w:r>
      <w:r>
        <w:t xml:space="preserve">First report of the</w:t>
      </w:r>
      <w:r>
        <w:t xml:space="preserve"> </w:t>
      </w:r>
      <w:r>
        <w:rPr>
          <w:iCs/>
          <w:i/>
        </w:rPr>
        <w:t xml:space="preserve">Brevipalpus</w:t>
      </w:r>
      <w:r>
        <w:t xml:space="preserve">-transmitted (Trombidiformes: Tenuipalpidae) orchid fleck virus 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belonging to the orchid-infecting subgroup (OFV-Orc),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OFV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 OFV is present in northern Florida, representing a risk for susceptible plants in the southeastern US.</w:t>
      </w:r>
    </w:p>
    <w:bookmarkEnd w:id="21"/>
    <w:bookmarkStart w:id="24"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which have been experimentally shown to transmit dichorhaviruses</w:t>
      </w:r>
      <w:r>
        <w:t xml:space="preserve"> </w:t>
      </w:r>
      <w:r>
        <w:t xml:space="preserve">(Maeda 1998)</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bookmarkStart w:id="22" w:name="virus-detection"/>
    <w:p>
      <w:pPr>
        <w:pStyle w:val="Heading4"/>
      </w:pPr>
      <w:r>
        <w:t xml:space="preserve">Virus Detection</w:t>
      </w:r>
    </w:p>
    <w:p>
      <w:pPr>
        <w:pStyle w:val="FirstParagraph"/>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w:t>
      </w:r>
    </w:p>
    <w:p>
      <w:pPr>
        <w:pStyle w:val="BodyText"/>
      </w:pPr>
      <w:r>
        <w:t xml:space="preserve">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 which were suspected to be infected, due to both its proximity to infected</w:t>
      </w:r>
      <w:r>
        <w:t xml:space="preserve"> </w:t>
      </w:r>
      <w:r>
        <w:rPr>
          <w:iCs/>
          <w:i/>
        </w:rPr>
        <w:t xml:space="preserve">Liriope</w:t>
      </w:r>
      <w:r>
        <w:t xml:space="preserve"> </w:t>
      </w:r>
      <w:r>
        <w:t xml:space="preserve">and the presence of unusually chlorotic leaves (Fig. 2). Plant materials were sent to the Florida Department of Agriculture and Consumer Services (FDACS) for identification.</w:t>
      </w:r>
    </w:p>
    <w:p>
      <w:pPr>
        <w:pStyle w:val="BodyText"/>
      </w:pPr>
      <w:r>
        <w:t xml:space="preserve">The FDACS determined that the pathogen was OFV using previously published primers and methods to conduct RT-PCR and Sanger sequencing</w:t>
      </w:r>
      <w:r>
        <w:t xml:space="preserve"> </w:t>
      </w:r>
      <w:r>
        <w:t xml:space="preserve">(Kubo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USDA-ARS, in conjunction with tests of fresh samples from both Alachua and Leon counties. The USDA used RT-PCR, RT-qPCR, and High Throughput Sequencing (HTS) to reconfirm the presence of OFV.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r>
        <w:t xml:space="preserve"> </w:t>
      </w:r>
      <w:r>
        <w:rPr>
          <w:bCs/>
          <w:b/>
        </w:rPr>
        <w:t xml:space="preserve">(insert statement of how much OFV-Orc1 and OFV-Orc2 differ at the nucleotide level)</w:t>
      </w:r>
      <w:r>
        <w:t xml:space="preserve"> </w:t>
      </w:r>
      <w:r>
        <w:t xml:space="preserve">*</w:t>
      </w:r>
      <w:r>
        <w:rPr>
          <w:bCs/>
          <w:b/>
        </w:rPr>
        <w:t xml:space="preserve">Request from Reviewer 2: deposit and include GenBank accession numbers for the identified virus isolates in Florida? Re:New reports of viruses required that or two other alternative methods for viral detection</w:t>
      </w:r>
      <w:r>
        <w:t xml:space="preserve"> </w:t>
      </w:r>
      <w:r>
        <w:rPr>
          <w:bCs/>
          <w:b/>
        </w:rPr>
        <w:t xml:space="preserve">Question from Reviewer 4: Does each isolate reflect a strain?</w:t>
      </w:r>
    </w:p>
    <w:p>
      <w:pPr>
        <w:pStyle w:val="BodyText"/>
      </w:pPr>
      <w:r>
        <w:t xml:space="preserve">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After the initial identification by FDACS of OFV-Orc strains,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2"/>
    <w:bookmarkStart w:id="23"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r>
        <w:t xml:space="preserve">.</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fruits</w:t>
      </w:r>
      <w:r>
        <w:t xml:space="preserve"> </w:t>
      </w:r>
      <w:r>
        <w:t xml:space="preserve">(Baker 1949, Baker and Tuttle 1987, Vacante 2010, 2016)</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may not be the same species as those found on citrus. Transmission of OFV from populations of</w:t>
      </w:r>
      <w:r>
        <w:t xml:space="preserve"> </w:t>
      </w:r>
      <w:r>
        <w:rPr>
          <w:iCs/>
          <w:i/>
        </w:rPr>
        <w:t xml:space="preserve">B. californicus</w:t>
      </w:r>
      <w:r>
        <w:t xml:space="preserve"> </w:t>
      </w:r>
      <w:r>
        <w:t xml:space="preserve">liriopogon/</w:t>
      </w:r>
      <w:r>
        <w:rPr>
          <w:iCs/>
          <w:i/>
        </w:rPr>
        <w:t xml:space="preserve">A. elatior</w:t>
      </w:r>
      <w:r>
        <w:t xml:space="preserve"> </w:t>
      </w:r>
      <w:r>
        <w:t xml:space="preserve">to citrus may be limited by host preferences, vectorial capacity, viral propagation/circulation in the vector, viral acquisition times, or feeding times required for transmission to citrus. Even so, these types of questions require future study to determine the potential of nolinoidaea to citrus transmission.</w:t>
      </w:r>
    </w:p>
    <w:p>
      <w:pPr>
        <w:pStyle w:val="BodyText"/>
      </w:pPr>
      <w:r>
        <w:t xml:space="preserve">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w:t>
      </w:r>
    </w:p>
    <w:p>
      <w:pPr>
        <w:pStyle w:val="BodyText"/>
      </w:pPr>
      <w:r>
        <w:t xml:space="preserve">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strains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strains of OFV on citrus, which will be a definite concern to the US multi-billion-dollar citrus industry already impacted by the Huanglongbing disease.</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w:t>
      </w:r>
      <w:r>
        <w:t xml:space="preserve">(Fig. 4),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3"/>
    <w:bookmarkEnd w:id="24"/>
    <w:bookmarkStart w:id="25"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5"/>
    <w:bookmarkStart w:id="99" w:name="references"/>
    <w:p>
      <w:pPr>
        <w:pStyle w:val="Heading3"/>
      </w:pPr>
      <w:r>
        <w:t xml:space="preserve">References</w:t>
      </w:r>
    </w:p>
    <w:bookmarkStart w:id="98" w:name="refs"/>
    <w:bookmarkStart w:id="26"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6"/>
    <w:bookmarkStart w:id="27"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w:t>
      </w:r>
    </w:p>
    <w:bookmarkEnd w:id="27"/>
    <w:bookmarkStart w:id="28"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8"/>
    <w:bookmarkStart w:id="29"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w:t>
      </w:r>
    </w:p>
    <w:bookmarkEnd w:id="29"/>
    <w:bookmarkStart w:id="30"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w:t>
      </w:r>
    </w:p>
    <w:bookmarkEnd w:id="30"/>
    <w:bookmarkStart w:id="31"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w:t>
      </w:r>
    </w:p>
    <w:bookmarkEnd w:id="31"/>
    <w:bookmarkStart w:id="32"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w:t>
      </w:r>
    </w:p>
    <w:bookmarkEnd w:id="32"/>
    <w:bookmarkStart w:id="33"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w:t>
      </w:r>
    </w:p>
    <w:bookmarkEnd w:id="33"/>
    <w:bookmarkStart w:id="3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w:t>
      </w:r>
    </w:p>
    <w:bookmarkEnd w:id="34"/>
    <w:bookmarkStart w:id="3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35"/>
    <w:bookmarkStart w:id="36"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6"/>
    <w:bookmarkStart w:id="37"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7"/>
    <w:bookmarkStart w:id="38"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8"/>
    <w:bookmarkStart w:id="39"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9"/>
    <w:bookmarkStart w:id="40"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w:t>
      </w:r>
    </w:p>
    <w:bookmarkEnd w:id="40"/>
    <w:bookmarkStart w:id="41"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41"/>
    <w:bookmarkStart w:id="42"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42"/>
    <w:bookmarkStart w:id="43"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43"/>
    <w:bookmarkStart w:id="44"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w:t>
      </w:r>
    </w:p>
    <w:bookmarkEnd w:id="44"/>
    <w:bookmarkStart w:id="45"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45"/>
    <w:bookmarkStart w:id="4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46"/>
    <w:bookmarkStart w:id="47"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7"/>
    <w:bookmarkStart w:id="48"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8"/>
    <w:bookmarkStart w:id="49"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9"/>
    <w:bookmarkStart w:id="50"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50"/>
    <w:bookmarkStart w:id="51"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51"/>
    <w:bookmarkStart w:id="52"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52"/>
    <w:bookmarkStart w:id="53"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53"/>
    <w:bookmarkStart w:id="54"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54"/>
    <w:bookmarkStart w:id="55"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w:t>
      </w:r>
    </w:p>
    <w:bookmarkEnd w:id="55"/>
    <w:bookmarkStart w:id="56"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56"/>
    <w:bookmarkStart w:id="57"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w:t>
      </w:r>
    </w:p>
    <w:bookmarkEnd w:id="57"/>
    <w:bookmarkStart w:id="5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58"/>
    <w:bookmarkStart w:id="59"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9"/>
    <w:bookmarkStart w:id="60"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60"/>
    <w:bookmarkStart w:id="61"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w:t>
      </w:r>
    </w:p>
    <w:bookmarkEnd w:id="61"/>
    <w:bookmarkStart w:id="62"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62"/>
    <w:bookmarkStart w:id="63"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63"/>
    <w:bookmarkStart w:id="64"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64"/>
    <w:bookmarkStart w:id="65"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65"/>
    <w:bookmarkStart w:id="66"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66"/>
    <w:bookmarkStart w:id="67"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67"/>
    <w:bookmarkStart w:id="68"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68"/>
    <w:bookmarkStart w:id="69"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w:t>
      </w:r>
    </w:p>
    <w:bookmarkEnd w:id="69"/>
    <w:bookmarkStart w:id="7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70"/>
    <w:bookmarkStart w:id="71"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71"/>
    <w:bookmarkStart w:id="72"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72"/>
    <w:bookmarkStart w:id="73"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73"/>
    <w:bookmarkStart w:id="74"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w:t>
      </w:r>
    </w:p>
    <w:bookmarkEnd w:id="74"/>
    <w:bookmarkStart w:id="75"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w:t>
      </w:r>
    </w:p>
    <w:bookmarkEnd w:id="75"/>
    <w:bookmarkStart w:id="76"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w:t>
      </w:r>
    </w:p>
    <w:bookmarkEnd w:id="76"/>
    <w:bookmarkStart w:id="77"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77"/>
    <w:bookmarkStart w:id="78"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w:t>
      </w:r>
    </w:p>
    <w:bookmarkEnd w:id="78"/>
    <w:bookmarkStart w:id="79"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79"/>
    <w:bookmarkStart w:id="80"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w:t>
      </w:r>
    </w:p>
    <w:bookmarkEnd w:id="80"/>
    <w:bookmarkStart w:id="81"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w:t>
      </w:r>
    </w:p>
    <w:bookmarkEnd w:id="81"/>
    <w:bookmarkStart w:id="82"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w:t>
      </w:r>
    </w:p>
    <w:bookmarkEnd w:id="82"/>
    <w:bookmarkStart w:id="83"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83"/>
    <w:bookmarkStart w:id="84"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w:t>
      </w:r>
    </w:p>
    <w:bookmarkEnd w:id="84"/>
    <w:bookmarkStart w:id="85"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85"/>
    <w:bookmarkStart w:id="86"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86"/>
    <w:bookmarkStart w:id="87"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w:t>
      </w:r>
    </w:p>
    <w:bookmarkEnd w:id="87"/>
    <w:bookmarkStart w:id="88"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w:t>
      </w:r>
    </w:p>
    <w:bookmarkEnd w:id="88"/>
    <w:bookmarkStart w:id="89"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w:t>
      </w:r>
    </w:p>
    <w:bookmarkEnd w:id="89"/>
    <w:bookmarkStart w:id="90" w:name="ref-Vacante2010"/>
    <w:p>
      <w:pPr>
        <w:pStyle w:val="Bibliography"/>
      </w:pPr>
      <w:r>
        <w:rPr>
          <w:bCs/>
          <w:b/>
        </w:rPr>
        <w:t xml:space="preserve">Vacante, V.</w:t>
      </w:r>
      <w:r>
        <w:t xml:space="preserve"> </w:t>
      </w:r>
      <w:r>
        <w:rPr>
          <w:bCs/>
          <w:b/>
        </w:rPr>
        <w:t xml:space="preserve">2010</w:t>
      </w:r>
      <w:r>
        <w:t xml:space="preserve">. Citrus mites: Identification, bionomy and control. PAPERBACKSHOP UK IMPORT.</w:t>
      </w:r>
    </w:p>
    <w:bookmarkEnd w:id="90"/>
    <w:bookmarkStart w:id="91" w:name="ref-Vacante2016"/>
    <w:p>
      <w:pPr>
        <w:pStyle w:val="Bibliography"/>
      </w:pPr>
      <w:r>
        <w:rPr>
          <w:bCs/>
          <w:b/>
        </w:rPr>
        <w:t xml:space="preserve">Vacante, V.</w:t>
      </w:r>
      <w:r>
        <w:t xml:space="preserve"> </w:t>
      </w:r>
      <w:r>
        <w:rPr>
          <w:bCs/>
          <w:b/>
        </w:rPr>
        <w:t xml:space="preserve">2016</w:t>
      </w:r>
      <w:r>
        <w:t xml:space="preserve">. Handbook of mites of economic plants: Identification, bio-ecology and control. PAPERBACKSHOP UK IMPORT.</w:t>
      </w:r>
    </w:p>
    <w:bookmarkEnd w:id="91"/>
    <w:bookmarkStart w:id="92"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w:t>
      </w:r>
    </w:p>
    <w:bookmarkEnd w:id="92"/>
    <w:bookmarkStart w:id="93"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w:t>
      </w:r>
    </w:p>
    <w:bookmarkEnd w:id="93"/>
    <w:bookmarkStart w:id="94"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94"/>
    <w:bookmarkStart w:id="95"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95"/>
    <w:bookmarkStart w:id="96"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96"/>
    <w:bookmarkStart w:id="97"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97"/>
    <w:bookmarkEnd w:id="98"/>
    <w:bookmarkEnd w:id="99"/>
    <w:bookmarkStart w:id="100" w:name="X939cdb20ca6cfb28ab46654545496e01e256375"/>
    <w:p>
      <w:pPr>
        <w:pStyle w:val="Heading3"/>
      </w:pPr>
      <w:r>
        <w:t xml:space="preserve">Table 1: List of Asparagaceae (Nolinoidaea) species with verified cases of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all host species.</w:t>
      </w:r>
    </w:p>
    <w:bookmarkEnd w:id="100"/>
    <w:bookmarkStart w:id="101"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virus: (a) ringspot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ringspot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expressed by</w:t>
      </w:r>
      <w:r>
        <w:t xml:space="preserve"> </w:t>
      </w:r>
      <w:r>
        <w:rPr>
          <w:iCs/>
          <w:i/>
        </w:rPr>
        <w:t xml:space="preserve">Aspidistra elatior</w:t>
      </w:r>
      <w:r>
        <w:t xml:space="preserve"> </w:t>
      </w:r>
      <w:r>
        <w:t xml:space="preserve">infected with orchid fleck virus: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01"/>
    <w:bookmarkStart w:id="105"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02"/>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03"/>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04"/>
                    <a:stretch>
                      <a:fillRect/>
                    </a:stretch>
                  </pic:blipFill>
                  <pic:spPr bwMode="auto">
                    <a:xfrm>
                      <a:off x="0" y="0"/>
                      <a:ext cx="5943600" cy="3962400"/>
                    </a:xfrm>
                    <a:prstGeom prst="rect">
                      <a:avLst/>
                    </a:prstGeom>
                    <a:noFill/>
                    <a:ln w="9525">
                      <a:noFill/>
                      <a:headEnd/>
                      <a:tailEnd/>
                    </a:ln>
                  </pic:spPr>
                </pic:pic>
              </a:graphicData>
            </a:graphic>
          </wp:inline>
        </w:drawing>
      </w:r>
    </w:p>
    <w:bookmarkEnd w:id="105"/>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2021-08-12T21:01:53Z</dcterms:created>
  <dcterms:modified xsi:type="dcterms:W3CDTF">2021-08-12T21:01:53Z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