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106.png" ContentType="image/png"/>
  <Override PartName="/word/media/rId107.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4"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commonly referred to as 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group known to transmit dichorhaviruses</w:t>
      </w:r>
      <w:r>
        <w:t xml:space="preserve"> </w:t>
      </w:r>
      <w:r>
        <w:t xml:space="preserve">(Maeda 1998)</w:t>
      </w:r>
      <w:r>
        <w:t xml:space="preserve">, and</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are the only mites which do so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2"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w:t>
      </w:r>
      <w:r>
        <w:t xml:space="preserve"> </w:t>
      </w:r>
      <w:r>
        <w:rPr>
          <w:iCs/>
          <w:i/>
        </w:rPr>
        <w:t xml:space="preserve">Cucumber mosaic virus</w:t>
      </w:r>
      <w:r>
        <w:t xml:space="preserve"> </w:t>
      </w:r>
      <w:r>
        <w:t xml:space="preserve">and</w:t>
      </w:r>
      <w:r>
        <w:t xml:space="preserve"> </w:t>
      </w:r>
      <w:r>
        <w:rPr>
          <w:iCs/>
          <w:i/>
        </w:rPr>
        <w:t xml:space="preserve">Tobacco mosaic virus</w:t>
      </w:r>
      <w:r>
        <w:t xml:space="preserve">.</w:t>
      </w:r>
    </w:p>
    <w:p>
      <w:pPr>
        <w:pStyle w:val="BodyText"/>
      </w:pPr>
      <w:r>
        <w:t xml:space="preserve">As initial diagnostics were inconclusive, new samples were collected during July and August of 2020 to collect more of these putatively 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eventually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bookmarkEnd w:id="22"/>
    <w:bookmarkStart w:id="23"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californicus</w:t>
      </w:r>
      <w:r>
        <w:t xml:space="preserve"> </w:t>
      </w:r>
      <w:r>
        <w:t xml:space="preserve">s.l. (the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several potential factors, including host preferences, vectorial capacity, viral propagation/circulation in the vector, viral acquisition times, and feeding times required for transmission. Some of these factors have been tested:</w:t>
      </w:r>
      <w:r>
        <w:t xml:space="preserve"> </w:t>
      </w:r>
      <w:r>
        <w:rPr>
          <w:iCs/>
          <w:i/>
        </w:rPr>
        <w:t xml:space="preserve">Brevipalpus</w:t>
      </w:r>
      <w:r>
        <w:t xml:space="preserve"> </w:t>
      </w:r>
      <w:r>
        <w:t xml:space="preserve">vectors have demonstrated such virus-vector specificity with</w:t>
      </w:r>
      <w:r>
        <w:t xml:space="preserve"> </w:t>
      </w:r>
      <w:r>
        <w:rPr>
          <w:iCs/>
          <w:i/>
        </w:rPr>
        <w:t xml:space="preserve">Citrus leprosis virus N</w:t>
      </w:r>
      <w:r>
        <w:t xml:space="preserve">–another dichorhavirus which causes citrus leprosis</w:t>
      </w:r>
      <w:r>
        <w:t xml:space="preserve"> </w:t>
      </w:r>
      <w:r>
        <w:t xml:space="preserve">(Roy et al. 2013)</w:t>
      </w:r>
      <w:r>
        <w:t xml:space="preserve">–in studies done by</w:t>
      </w:r>
      <w:r>
        <w:t xml:space="preserve"> </w:t>
      </w:r>
      <w:r>
        <w:t xml:space="preserve">Ferreira et al. (2020)</w:t>
      </w:r>
      <w:r>
        <w:t xml:space="preserve"> </w:t>
      </w:r>
      <w:r>
        <w:t xml:space="preserve">and</w:t>
      </w:r>
      <w:r>
        <w:t xml:space="preserve"> </w:t>
      </w:r>
      <w:r>
        <w:t xml:space="preserve">García-Escamilla et al. (2018)</w:t>
      </w:r>
      <w:r>
        <w:t xml:space="preserve">. In these studies,</w:t>
      </w:r>
      <w:r>
        <w:t xml:space="preserve"> </w:t>
      </w:r>
      <w:r>
        <w:rPr>
          <w:iCs/>
          <w:i/>
        </w:rPr>
        <w:t xml:space="preserve">Brevipalpus</w:t>
      </w:r>
      <w:r>
        <w:t xml:space="preserve"> </w:t>
      </w:r>
      <w:r>
        <w:t xml:space="preserve">mites were not able to transmit more than one virus. This could mean that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are not actually the same species as those found on citrus, or at least are not able to transmit OFV to citrus.</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 as well as</w:t>
      </w:r>
      <w:r>
        <w:t xml:space="preserve"> </w:t>
      </w:r>
      <w:r>
        <w:rPr>
          <w:iCs/>
          <w:i/>
        </w:rPr>
        <w:t xml:space="preserve">B. yothersi</w:t>
      </w:r>
      <w:r>
        <w:t xml:space="preserve">, are both known vectors of dichorhaviruses (OFV)</w:t>
      </w:r>
      <w:r>
        <w:t xml:space="preserve"> </w:t>
      </w:r>
      <w:r>
        <w:t xml:space="preserve">(Kondo et al. 2003, García-Escamilla et al. 2018,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bookmarkEnd w:id="23"/>
    <w:bookmarkEnd w:id="24"/>
    <w:bookmarkStart w:id="25"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5"/>
    <w:bookmarkStart w:id="102" w:name="references"/>
    <w:p>
      <w:pPr>
        <w:pStyle w:val="Heading3"/>
      </w:pPr>
      <w:r>
        <w:t xml:space="preserve">References</w:t>
      </w:r>
    </w:p>
    <w:bookmarkStart w:id="101" w:name="refs"/>
    <w:bookmarkStart w:id="26"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6"/>
    <w:bookmarkStart w:id="27"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w:t>
      </w:r>
    </w:p>
    <w:bookmarkEnd w:id="27"/>
    <w:bookmarkStart w:id="28"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8"/>
    <w:bookmarkStart w:id="29"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w:t>
      </w:r>
    </w:p>
    <w:bookmarkEnd w:id="29"/>
    <w:bookmarkStart w:id="30"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w:t>
      </w:r>
    </w:p>
    <w:bookmarkEnd w:id="30"/>
    <w:bookmarkStart w:id="31"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w:t>
      </w:r>
    </w:p>
    <w:bookmarkEnd w:id="31"/>
    <w:bookmarkStart w:id="32"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32"/>
    <w:bookmarkStart w:id="33"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33"/>
    <w:bookmarkStart w:id="3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34"/>
    <w:bookmarkStart w:id="3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35"/>
    <w:bookmarkStart w:id="36"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6"/>
    <w:bookmarkStart w:id="3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7"/>
    <w:bookmarkStart w:id="38"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8"/>
    <w:bookmarkStart w:id="39"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9"/>
    <w:bookmarkStart w:id="40"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w:t>
      </w:r>
    </w:p>
    <w:bookmarkEnd w:id="40"/>
    <w:bookmarkStart w:id="41"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41"/>
    <w:bookmarkStart w:id="42"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42"/>
    <w:bookmarkStart w:id="43"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43"/>
    <w:bookmarkStart w:id="44"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w:t>
      </w:r>
    </w:p>
    <w:bookmarkEnd w:id="44"/>
    <w:bookmarkStart w:id="45"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45"/>
    <w:bookmarkStart w:id="4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6"/>
    <w:bookmarkStart w:id="47"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7"/>
    <w:bookmarkStart w:id="48"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8"/>
    <w:bookmarkStart w:id="49"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9"/>
    <w:bookmarkStart w:id="50"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50"/>
    <w:bookmarkStart w:id="51"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51"/>
    <w:bookmarkStart w:id="52"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52"/>
    <w:bookmarkStart w:id="53"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3"/>
    <w:bookmarkStart w:id="54"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4"/>
    <w:bookmarkStart w:id="55"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w:t>
      </w:r>
    </w:p>
    <w:bookmarkEnd w:id="55"/>
    <w:bookmarkStart w:id="56" w:name="ref-Ferreira2020"/>
    <w:p>
      <w:pPr>
        <w:pStyle w:val="Bibliography"/>
      </w:pPr>
      <w:r>
        <w:rPr>
          <w:bCs/>
          <w:b/>
        </w:rPr>
        <w:t xml:space="preserve">Ferreira, L. M., M. A. Nunes, T. E. Sinico, A. J. Soares, and V. M. Novelli</w:t>
      </w:r>
      <w:r>
        <w:t xml:space="preserve">.</w:t>
      </w:r>
      <w:r>
        <w:t xml:space="preserve"> </w:t>
      </w:r>
      <w:r>
        <w:rPr>
          <w:bCs/>
          <w:b/>
        </w:rPr>
        <w:t xml:space="preserve">2020</w:t>
      </w:r>
      <w:r>
        <w:t xml:space="preserve">.</w:t>
      </w:r>
      <w:r>
        <w:t xml:space="preserve"> </w:t>
      </w:r>
      <w:r>
        <w:rPr>
          <w:iCs/>
          <w:i/>
        </w:rPr>
        <w:t xml:space="preserve">Brevipalpus</w:t>
      </w:r>
      <w:r>
        <w:t xml:space="preserve"> </w:t>
      </w:r>
      <w:r>
        <w:t xml:space="preserve">species vectoring</w:t>
      </w:r>
      <w:r>
        <w:t xml:space="preserve"> </w:t>
      </w:r>
      <w:r>
        <w:t xml:space="preserve">Citrus leprosis virus</w:t>
      </w:r>
      <w:r>
        <w:t xml:space="preserve"> </w:t>
      </w:r>
      <w:r>
        <w:t xml:space="preserve">(</w:t>
      </w:r>
      <w:r>
        <w:rPr>
          <w:iCs/>
          <w:i/>
        </w:rPr>
        <w:t xml:space="preserve">Cilevirus</w:t>
      </w:r>
      <w:r>
        <w:t xml:space="preserve"> </w:t>
      </w:r>
      <w:r>
        <w:t xml:space="preserve">and</w:t>
      </w:r>
      <w:r>
        <w:t xml:space="preserve"> </w:t>
      </w:r>
      <w:r>
        <w:rPr>
          <w:iCs/>
          <w:i/>
        </w:rPr>
        <w:t xml:space="preserve">Dichorhavirus</w:t>
      </w:r>
      <w:r>
        <w:t xml:space="preserve">). Journal of Economic Entomology. 113: 1628–1634.</w:t>
      </w:r>
    </w:p>
    <w:bookmarkEnd w:id="56"/>
    <w:bookmarkStart w:id="57"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57"/>
    <w:bookmarkStart w:id="5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58"/>
    <w:bookmarkStart w:id="59"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w:t>
      </w:r>
    </w:p>
    <w:bookmarkEnd w:id="59"/>
    <w:bookmarkStart w:id="60"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60"/>
    <w:bookmarkStart w:id="61"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61"/>
    <w:bookmarkStart w:id="62"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2"/>
    <w:bookmarkStart w:id="6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63"/>
    <w:bookmarkStart w:id="64"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4"/>
    <w:bookmarkStart w:id="65"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5"/>
    <w:bookmarkStart w:id="66"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66"/>
    <w:bookmarkStart w:id="67"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7"/>
    <w:bookmarkStart w:id="68"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68"/>
    <w:bookmarkStart w:id="69"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69"/>
    <w:bookmarkStart w:id="70"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70"/>
    <w:bookmarkStart w:id="71"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71"/>
    <w:bookmarkStart w:id="72"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72"/>
    <w:bookmarkStart w:id="73"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w:t>
      </w:r>
    </w:p>
    <w:bookmarkEnd w:id="73"/>
    <w:bookmarkStart w:id="74"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4"/>
    <w:bookmarkStart w:id="75"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5"/>
    <w:bookmarkStart w:id="76"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6"/>
    <w:bookmarkStart w:id="77"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77"/>
    <w:bookmarkStart w:id="7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w:t>
      </w:r>
    </w:p>
    <w:bookmarkEnd w:id="78"/>
    <w:bookmarkStart w:id="79"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79"/>
    <w:bookmarkStart w:id="80"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w:t>
      </w:r>
    </w:p>
    <w:bookmarkEnd w:id="80"/>
    <w:bookmarkStart w:id="81"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81"/>
    <w:bookmarkStart w:id="82"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w:t>
      </w:r>
    </w:p>
    <w:bookmarkEnd w:id="82"/>
    <w:bookmarkStart w:id="83"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83"/>
    <w:bookmarkStart w:id="84"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w:t>
      </w:r>
    </w:p>
    <w:bookmarkEnd w:id="84"/>
    <w:bookmarkStart w:id="85"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w:t>
      </w:r>
    </w:p>
    <w:bookmarkEnd w:id="85"/>
    <w:bookmarkStart w:id="8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w:t>
      </w:r>
    </w:p>
    <w:bookmarkEnd w:id="86"/>
    <w:bookmarkStart w:id="87"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87"/>
    <w:bookmarkStart w:id="88"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w:t>
      </w:r>
    </w:p>
    <w:bookmarkEnd w:id="88"/>
    <w:bookmarkStart w:id="89"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89"/>
    <w:bookmarkStart w:id="90"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90"/>
    <w:bookmarkStart w:id="91" w:name="ref-Roy2013a"/>
    <w:p>
      <w:pPr>
        <w:pStyle w:val="Bibliography"/>
      </w:pPr>
      <w:r>
        <w:rPr>
          <w:bCs/>
          <w:b/>
        </w:rPr>
        <w:t xml:space="preserve">Roy, A., A. Stone, G. Otero-Colina, G. Wei, N. Choudhary, D. Achor, J. Shao, L. Levy, M. K. Nakhla, C. R. Hollingsworth, J. S. Hartung, W. L. Schneider, and R. H. Brlansky</w:t>
      </w:r>
      <w:r>
        <w:t xml:space="preserve">.</w:t>
      </w:r>
      <w:r>
        <w:t xml:space="preserve"> </w:t>
      </w:r>
      <w:r>
        <w:rPr>
          <w:bCs/>
          <w:b/>
        </w:rPr>
        <w:t xml:space="preserve">2013</w:t>
      </w:r>
      <w:r>
        <w:t xml:space="preserve">. Genome assembly of</w:t>
      </w:r>
      <w:r>
        <w:t xml:space="preserve"> </w:t>
      </w:r>
      <w:r>
        <w:t xml:space="preserve">Citrus leprosis virus</w:t>
      </w:r>
      <w:r>
        <w:t xml:space="preserve"> </w:t>
      </w:r>
      <w:r>
        <w:t xml:space="preserve">nuclear type reveals a close association with</w:t>
      </w:r>
      <w:r>
        <w:t xml:space="preserve"> </w:t>
      </w:r>
      <w:r>
        <w:t xml:space="preserve">Orchid fleck virus</w:t>
      </w:r>
      <w:r>
        <w:t xml:space="preserve">. Genome Announcements. 1.</w:t>
      </w:r>
    </w:p>
    <w:bookmarkEnd w:id="91"/>
    <w:bookmarkStart w:id="92"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92"/>
    <w:bookmarkStart w:id="93"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93"/>
    <w:bookmarkStart w:id="94"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94"/>
    <w:bookmarkStart w:id="95"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5"/>
    <w:bookmarkStart w:id="9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w:t>
      </w:r>
    </w:p>
    <w:bookmarkEnd w:id="96"/>
    <w:bookmarkStart w:id="97"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97"/>
    <w:bookmarkStart w:id="9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98"/>
    <w:bookmarkStart w:id="99"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99"/>
    <w:bookmarkStart w:id="100"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100"/>
    <w:bookmarkEnd w:id="101"/>
    <w:bookmarkEnd w:id="102"/>
    <w:bookmarkStart w:id="103"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103"/>
    <w:bookmarkStart w:id="104"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w:t>
      </w:r>
      <w:r>
        <w:t xml:space="preserve"> </w:t>
      </w:r>
      <w:r>
        <w:rPr>
          <w:iCs/>
          <w:i/>
        </w:rPr>
        <w:t xml:space="preserve">Orchid fleck dichorhavirus</w:t>
      </w:r>
      <w:r>
        <w:t xml:space="preserve">: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w:t>
      </w:r>
      <w:r>
        <w:t xml:space="preserve"> </w:t>
      </w:r>
      <w:r>
        <w:rPr>
          <w:iCs/>
          <w:i/>
        </w:rPr>
        <w:t xml:space="preserve">Orchid fleck dichorhavirus</w:t>
      </w:r>
      <w:r>
        <w:t xml:space="preserve">: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104"/>
    <w:bookmarkStart w:id="10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108"/>
                    <a:stretch>
                      <a:fillRect/>
                    </a:stretch>
                  </pic:blipFill>
                  <pic:spPr bwMode="auto">
                    <a:xfrm>
                      <a:off x="0" y="0"/>
                      <a:ext cx="5943600" cy="3962400"/>
                    </a:xfrm>
                    <a:prstGeom prst="rect">
                      <a:avLst/>
                    </a:prstGeom>
                    <a:noFill/>
                    <a:ln w="9525">
                      <a:noFill/>
                      <a:headEnd/>
                      <a:tailEnd/>
                    </a:ln>
                  </pic:spPr>
                </pic:pic>
              </a:graphicData>
            </a:graphic>
          </wp:inline>
        </w:drawing>
      </w:r>
    </w:p>
    <w:bookmarkEnd w:id="10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2021-06-16T19:39:06Z</dcterms:created>
  <dcterms:modified xsi:type="dcterms:W3CDTF">2021-06-16T19:39:06Z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