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belongs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were observed in a landscape in Leon County, Florida. Later in the year,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Liriope muscari</w:t>
      </w:r>
      <w:r>
        <w:t xml:space="preserve">,</w:t>
      </w:r>
      <w:r>
        <w:t xml:space="preserve"> </w:t>
      </w:r>
      <w:r>
        <w:rPr>
          <w:iCs/>
          <w:i/>
        </w:rPr>
        <w:t xml:space="preserve">Ophiopogon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Florida . In this study we are reporting three new hosts from the family Asperagaceae. To know the extended host range of OFVs, a survey in the citrus growing regions in Florida is essential with special emphasis to the plants belongs to the family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w:t>
      </w:r>
      <w:r>
        <w:t xml:space="preserve"> </w:t>
      </w:r>
      <w:r>
        <w:rPr>
          <w:iCs/>
          <w:i/>
        </w:rPr>
        <w:t xml:space="preserve">Brevipalpus californicus</w:t>
      </w:r>
      <w:r>
        <w:t xml:space="preserve"> </w:t>
      </w:r>
      <w:r>
        <w:t xml:space="preserve">(Banks) mites are the only mite known to transmit OFV in a persistent propagative manner</w:t>
      </w:r>
      <w:r>
        <w:t xml:space="preserve"> </w:t>
      </w:r>
      <w:r>
        <w:t xml:space="preserve">(Kondo et al. 2003)</w:t>
      </w:r>
      <w:r>
        <w:t xml:space="preserve">.</w:t>
      </w:r>
    </w:p>
    <w:p>
      <w:pPr>
        <w:pStyle w:val="BodyText"/>
      </w:pPr>
      <w:r>
        <w:t xml:space="preserve">OFV-infected plants exhibit various symptoms dependent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(Blanchfield et al. 2001)</w:t>
      </w:r>
      <w:r>
        <w:t xml:space="preserve">], North America: [The United States</w:t>
      </w:r>
      <w:r>
        <w:t xml:space="preserve"> </w:t>
      </w:r>
      <w:r>
        <w:t xml:space="preserve">(Blanchfield et al. 2001, Bratsch et al. 2015)</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w:t>
      </w:r>
      <w:r>
        <w:t xml:space="preserve"> </w:t>
      </w:r>
      <w:r>
        <w:rPr>
          <w:iCs/>
          <w:i/>
        </w:rPr>
        <w:t xml:space="preserve">Citrus</w:t>
      </w:r>
      <w:r>
        <w:t xml:space="preserve"> </w:t>
      </w:r>
      <w:r>
        <w:t xml:space="preserve">where it causes citrus leprosis-like symptoms</w:t>
      </w:r>
      <w:r>
        <w:t xml:space="preserve"> </w:t>
      </w:r>
      <w:r>
        <w:t xml:space="preserve">(García-Escamilla et al. 2018, Beltran-Beltran et al. 2020, Roy et al. 2020)</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The RT-PCR amplicon was sequenced using Sanger sequencing and confirmed the presence of OFV in the tested samples. Sanger sequencing of RT-PCR amplicons shared 98% nucleotide identity with orchid strains of OFV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 which were located at the same site as the original infected</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Samples were tested via RT-PCR at the NFREC</w:t>
      </w:r>
      <w:r>
        <w:t xml:space="preserve"> </w:t>
      </w:r>
      <w:r>
        <w:t xml:space="preserve">to confirm the presence of OFV.</w:t>
      </w:r>
    </w:p>
    <w:p>
      <w:pPr>
        <w:pStyle w:val="BodyText"/>
      </w:pPr>
      <w:r>
        <w:t xml:space="preserve">Further surveys of plants belonging to the subfamily Nolinoidaea in Florida have revealed more sites with symptomatic plants in both Leon and Alachua counties. In addition to the discovery of the OFV-infected plants, we collected mites from symptomatic plants in both Leon and Alachua counties. In addition to the discovery of the OFV-infected plants, we collected mites from symptomatic plants in Leon county which were observed with phase contrast microscopy. We encountered both an unidentified eriophyoid mite species on the</w:t>
      </w:r>
      <w:r>
        <w:t xml:space="preserve"> </w:t>
      </w:r>
      <w:r>
        <w:rPr>
          <w:iCs/>
          <w:i/>
        </w:rPr>
        <w:t xml:space="preserve">Liriope</w:t>
      </w:r>
      <w:r>
        <w:t xml:space="preserve"> </w:t>
      </w:r>
      <w:r>
        <w:t xml:space="preserve">spp., along with flat mites on all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an identity which was confirmed by the FDACS via Differential Interference Contrast (DIC) microscopy.</w:t>
      </w:r>
      <w:r>
        <w:t xml:space="preserve"> </w:t>
      </w:r>
      <w:r>
        <w:rPr>
          <w:iCs/>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as well as similar diseases</w:t>
      </w:r>
      <w:r>
        <w:t xml:space="preserve"> </w:t>
      </w:r>
      <w:r>
        <w:t xml:space="preserve">(Kitajima et al. 2010)</w:t>
      </w:r>
      <w:r>
        <w:t xml:space="preserve"> </w:t>
      </w:r>
      <w:r>
        <w:t xml:space="preserve">and are known to feed on a large variety of economically important plants</w:t>
      </w:r>
      <w:r>
        <w:t xml:space="preserve"> </w:t>
      </w:r>
      <w:r>
        <w:t xml:space="preserve">(Childers, Rodrigues, and Welbourn 2003, Akyazi et al. 2017)</w:t>
      </w:r>
      <w:r>
        <w:t xml:space="preserve">. Unfortunately,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cryo scanning electron microscopy (currently known as Cryo-SEM)</w:t>
      </w:r>
      <w:r>
        <w:t xml:space="preserve"> </w:t>
      </w:r>
      <w:r>
        <w:t xml:space="preserve">(León and Nadler 2010, Beard et al. 2015, Skoracka et al. 2015)</w:t>
      </w:r>
      <w:r>
        <w:t xml:space="preserve">. With that in mind, we collected additional samples of the mites from the same site as the original OFV detection and sent them to the USDA-ARS in Beltsville to observe the mites with Cryo-SEM techniques, which agreed with both prior identifications of</w:t>
      </w:r>
      <w:r>
        <w:t xml:space="preserve"> </w:t>
      </w:r>
      <w:r>
        <w:rPr>
          <w:iCs/>
          <w:i/>
        </w:rPr>
        <w:t xml:space="preserve">B. californicus</w:t>
      </w:r>
      <w:r>
        <w:t xml:space="preserve"> </w:t>
      </w:r>
      <w:r>
        <w:t xml:space="preserve">s.l.</w:t>
      </w:r>
      <w:r>
        <w:t xml:space="preserve"> </w:t>
      </w:r>
      <w:r>
        <w:t xml:space="preserve">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w:t>
      </w:r>
    </w:p>
    <w:p>
      <w:pPr>
        <w:pStyle w:val="BodyText"/>
      </w:pPr>
      <w:r>
        <w:t xml:space="preserve">The first report of OFV in the United State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 The authors did not make a conclusive species identification but suggested the mite species was</w:t>
      </w:r>
      <w:r>
        <w:t xml:space="preserve"> </w:t>
      </w:r>
      <w:r>
        <w:rPr>
          <w:iCs/>
          <w:i/>
        </w:rPr>
        <w:t xml:space="preserve">B. californicus</w:t>
      </w:r>
      <w:r>
        <w:t xml:space="preserve"> </w:t>
      </w:r>
      <w:r>
        <w:t xml:space="preserve">group as the vector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In addition, we are not aware of any record other than this manuscript which reports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used for their classification</w:t>
      </w:r>
      <w:r>
        <w:t xml:space="preserve"> </w:t>
      </w:r>
      <w:r>
        <w:t xml:space="preserve">(Fantz 2008)</w:t>
      </w:r>
      <w:r>
        <w:t xml:space="preserve">. Furthermore, the horticultural industry has created a diverse array of cultivars of these plants, which are often mislabeled</w:t>
      </w:r>
      <w:r>
        <w:t xml:space="preserve"> </w:t>
      </w:r>
      <w:r>
        <w:t xml:space="preserve">(Fantz 2008)</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OFV is the type member of the genus</w:t>
      </w:r>
      <w:r>
        <w:t xml:space="preserve"> </w:t>
      </w:r>
      <w:r>
        <w:rPr>
          <w:iCs/>
          <w:i/>
        </w:rPr>
        <w:t xml:space="preserve">Dichorhavirus</w:t>
      </w:r>
      <w:r>
        <w:t xml:space="preserve"> </w:t>
      </w:r>
      <w:r>
        <w:t xml:space="preserve">(family</w:t>
      </w:r>
      <w:r>
        <w:t xml:space="preserve"> </w:t>
      </w:r>
      <w:r>
        <w:rPr>
          <w:iCs/>
          <w:i/>
        </w:rPr>
        <w:t xml:space="preserve">Rhabdoviridae</w:t>
      </w:r>
      <w:r>
        <w:t xml:space="preserve">, order</w:t>
      </w:r>
      <w:r>
        <w:t xml:space="preserve"> </w:t>
      </w:r>
      <w:r>
        <w:rPr>
          <w:iCs/>
          <w:i/>
        </w:rPr>
        <w:t xml:space="preserve">Mononegavirales</w:t>
      </w:r>
      <w:r>
        <w:t xml:space="preserve">) contain a bipartite, single-stranded and negative sense RNA genome. 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 but none of the citrus strain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The first time leprosis has been observed in the Florida in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 Association of a distant relative of OFV which was named as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highlights the threat of different strains of OFV; which will be a definite concern to the multi-billion dollar citrus industry. Lastly, some OFV isolates are known to be involved with citrus leprosis disease in Mexico</w:t>
      </w:r>
      <w:r>
        <w:t xml:space="preserve"> </w:t>
      </w:r>
      <w:r>
        <w:t xml:space="preserve">(Roy et al. 2015)</w:t>
      </w:r>
      <w:r>
        <w:t xml:space="preserve">, which may be a cause for concern for the citrus industry.</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Rodrigues, Derrick, et al. 2003)</w:t>
      </w:r>
      <w:r>
        <w:t xml:space="preserve">. All three mite species/complexes are present in Florida</w:t>
      </w:r>
      <w:r>
        <w:t xml:space="preserve"> </w:t>
      </w:r>
      <w:r>
        <w:t xml:space="preserve">(Childers, Rodrigues, Derrick, et al. 2003, Akyazi et al. 2017)</w:t>
      </w:r>
      <w:r>
        <w:t xml:space="preserve">.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permitting us to use these beautiful LT-SEM images,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83" w:name="references"/>
    <w:p>
      <w:pPr>
        <w:pStyle w:val="Heading3"/>
      </w:pPr>
      <w:r>
        <w:t xml:space="preserve">References</w:t>
      </w:r>
    </w:p>
    <w:bookmarkStart w:id="82"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27"/>
    <w:bookmarkStart w:id="28"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28"/>
    <w:bookmarkStart w:id="2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29"/>
    <w:bookmarkStart w:id="30"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0"/>
    <w:bookmarkStart w:id="3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1"/>
    <w:bookmarkStart w:id="32"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2"/>
    <w:bookmarkStart w:id="33"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3"/>
    <w:bookmarkStart w:id="34"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4"/>
    <w:bookmarkStart w:id="35"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5"/>
    <w:bookmarkStart w:id="36"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36"/>
    <w:bookmarkStart w:id="37"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7"/>
    <w:bookmarkStart w:id="38" w:name="ref-Childers2003a"/>
    <w:p>
      <w:pPr>
        <w:pStyle w:val="Bibliography"/>
      </w:pPr>
      <w:r>
        <w:rPr>
          <w:bCs/>
          <w:b/>
        </w:rPr>
        <w:t xml:space="preserve">Childers, C. C., J. C. V. Rodrigues, and W. C. Welbourn</w:t>
      </w:r>
      <w:r>
        <w:t xml:space="preserve">.</w:t>
      </w:r>
      <w:r>
        <w:t xml:space="preserve"> </w:t>
      </w:r>
      <w:r>
        <w:rPr>
          <w:bCs/>
          <w:b/>
        </w:rPr>
        <w:t xml:space="preserve">2003</w:t>
      </w:r>
      <w:r>
        <w:t xml:space="preserve">. Host plants of</w:t>
      </w:r>
      <w:r>
        <w:t xml:space="preserve"> </w:t>
      </w:r>
      <w:r>
        <w:rPr>
          <w:iCs/>
          <w:i/>
        </w:rPr>
        <w:t xml:space="preserve">brevipalpus californicus</w:t>
      </w:r>
      <w:r>
        <w:t xml:space="preserve">,</w:t>
      </w:r>
      <w:r>
        <w:t xml:space="preserve"> </w:t>
      </w:r>
      <w:r>
        <w:rPr>
          <w:iCs/>
          <w:i/>
        </w:rPr>
        <w:t xml:space="preserve">b. Obovatus</w:t>
      </w:r>
      <w:r>
        <w:t xml:space="preserve">, and</w:t>
      </w:r>
      <w:r>
        <w:t xml:space="preserve"> </w:t>
      </w:r>
      <w:r>
        <w:rPr>
          <w:iCs/>
          <w:i/>
        </w:rPr>
        <w:t xml:space="preserve">b. Phoenicis</w:t>
      </w:r>
      <w:r>
        <w:t xml:space="preserve"> </w:t>
      </w:r>
      <w:r>
        <w:t xml:space="preserve">(acari: Tenuipalpidae) and their potential involvement in the spread of viral diseases vectored by these mites. Experimental and Applied Acarology. 30: 29–105.</w:t>
      </w:r>
    </w:p>
    <w:bookmarkEnd w:id="38"/>
    <w:bookmarkStart w:id="39"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39"/>
    <w:bookmarkStart w:id="40"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0"/>
    <w:bookmarkStart w:id="4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1"/>
    <w:bookmarkStart w:id="42"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2"/>
    <w:bookmarkStart w:id="43"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3"/>
    <w:bookmarkStart w:id="44" w:name="ref-Fantz2008a"/>
    <w:p>
      <w:pPr>
        <w:pStyle w:val="Bibliography"/>
      </w:pPr>
      <w:r>
        <w:rPr>
          <w:bCs/>
          <w:b/>
        </w:rPr>
        <w:t xml:space="preserve">Fantz, P. R.</w:t>
      </w:r>
      <w:r>
        <w:t xml:space="preserve"> </w:t>
      </w:r>
      <w:r>
        <w:rPr>
          <w:bCs/>
          <w:b/>
        </w:rPr>
        <w:t xml:space="preserve">2008</w:t>
      </w:r>
      <w:r>
        <w:t xml:space="preserve">. Macrophytography of cultivated liriopogons and genera delineation.</w:t>
      </w:r>
      <w:r>
        <w:t xml:space="preserve"> </w:t>
      </w:r>
      <w:r>
        <w:t xml:space="preserve">HortTechnology</w:t>
      </w:r>
      <w:r>
        <w:t xml:space="preserve">. 18: 334–342.</w:t>
      </w:r>
    </w:p>
    <w:bookmarkEnd w:id="44"/>
    <w:bookmarkStart w:id="45"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45"/>
    <w:bookmarkStart w:id="46"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46"/>
    <w:bookmarkStart w:id="47"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48"/>
    <w:bookmarkStart w:id="49"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49"/>
    <w:bookmarkStart w:id="50"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0"/>
    <w:bookmarkStart w:id="51"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1"/>
    <w:bookmarkStart w:id="52"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2"/>
    <w:bookmarkStart w:id="53"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3"/>
    <w:bookmarkStart w:id="5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4"/>
    <w:bookmarkStart w:id="5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5"/>
    <w:bookmarkStart w:id="56"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56"/>
    <w:bookmarkStart w:id="57"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7"/>
    <w:bookmarkStart w:id="58"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58"/>
    <w:bookmarkStart w:id="59"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59"/>
    <w:bookmarkStart w:id="60"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0"/>
    <w:bookmarkStart w:id="61"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1"/>
    <w:bookmarkStart w:id="62"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2"/>
    <w:bookmarkStart w:id="63"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3"/>
    <w:bookmarkStart w:id="6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4"/>
    <w:bookmarkStart w:id="65"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65"/>
    <w:bookmarkStart w:id="66"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66"/>
    <w:bookmarkStart w:id="67"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67"/>
    <w:bookmarkStart w:id="68"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68"/>
    <w:bookmarkStart w:id="69"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69"/>
    <w:bookmarkStart w:id="7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0"/>
    <w:bookmarkStart w:id="71"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1"/>
    <w:bookmarkStart w:id="7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72"/>
    <w:bookmarkStart w:id="73"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73"/>
    <w:bookmarkStart w:id="74"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74"/>
    <w:bookmarkStart w:id="75"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75"/>
    <w:bookmarkStart w:id="76"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76"/>
    <w:bookmarkStart w:id="7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7"/>
    <w:bookmarkStart w:id="7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78"/>
    <w:bookmarkStart w:id="7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79"/>
    <w:bookmarkStart w:id="8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0"/>
    <w:bookmarkStart w:id="81"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1"/>
    <w:bookmarkEnd w:id="82"/>
    <w:bookmarkEnd w:id="83"/>
    <w:bookmarkStart w:id="84"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bookmarkEnd w:id="84"/>
    <w:bookmarkStart w:id="86"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5"/>
                    <a:stretch>
                      <a:fillRect/>
                    </a:stretch>
                  </pic:blipFill>
                  <pic:spPr bwMode="auto">
                    <a:xfrm>
                      <a:off x="0" y="0"/>
                      <a:ext cx="5943600" cy="3962400"/>
                    </a:xfrm>
                    <a:prstGeom prst="rect">
                      <a:avLst/>
                    </a:prstGeom>
                    <a:noFill/>
                    <a:ln w="9525">
                      <a:noFill/>
                      <a:headEnd/>
                      <a:tailEnd/>
                    </a:ln>
                  </pic:spPr>
                </pic:pic>
              </a:graphicData>
            </a:graphic>
          </wp:inline>
        </w:drawing>
      </w:r>
    </w:p>
    <w:bookmarkEnd w:id="86"/>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2021-03-23T21:58:52Z</dcterms:created>
  <dcterms:modified xsi:type="dcterms:W3CDTF">2021-03-23T21:58:52Z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