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3.png" ContentType="image/png"/>
  <Override PartName="/word/media/rId84.png" ContentType="image/png"/>
  <Override PartName="/word/media/rId8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Brief</w:t>
      </w:r>
      <w:r>
        <w:t xml:space="preserve"> </w:t>
      </w:r>
      <w:r>
        <w:t xml:space="preserve">Communications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was seen affecting Liriopogons (</w:t>
      </w:r>
      <w:r>
        <w:rPr>
          <w:iCs/>
          <w:i/>
        </w:rPr>
        <w:t xml:space="preserve">Liriope</w:t>
      </w:r>
      <w:r>
        <w:t xml:space="preserve"> </w:t>
      </w:r>
      <w:r>
        <w:t xml:space="preserve">spp. 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w:t>
      </w:r>
      <w:r>
        <w:t xml:space="preserve"> </w:t>
      </w:r>
      <w:r>
        <w:rPr>
          <w:iCs/>
          <w:i/>
        </w:rPr>
        <w:t xml:space="preserve">Rhabdoviridae</w:t>
      </w:r>
      <w:r>
        <w:t xml:space="preserv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known vectors of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larger spots or ringspot patterns</w:t>
      </w:r>
      <w:r>
        <w:t xml:space="preserve"> </w:t>
      </w:r>
      <w:r>
        <w:t xml:space="preserve">.</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As initial diagnostics were inconclusive, new samples were collected during July and August of 2020 to collect more of these putatively-infected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The majority of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p>
      <w:pPr>
        <w:pStyle w:val="BodyText"/>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seperation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s. l. 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 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With this in mind,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Baker and</w:t>
      </w:r>
      <w:r>
        <w:t xml:space="preserve"> </w:t>
      </w:r>
      <w:r>
        <w:rPr>
          <w:iCs/>
          <w:i/>
        </w:rPr>
        <w:t xml:space="preserve">B. confusus</w:t>
      </w:r>
      <w:r>
        <w:t xml:space="preserve"> </w:t>
      </w:r>
      <w:r>
        <w:t xml:space="preserve">Donnadieu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In 2001,</w:t>
      </w:r>
      <w:r>
        <w:t xml:space="preserve"> </w:t>
      </w:r>
      <w:r>
        <w:t xml:space="preserve">Blanchfield et al. (2001)</w:t>
      </w:r>
      <w:r>
        <w:t xml:space="preserve"> </w:t>
      </w:r>
      <w:r>
        <w:t xml:space="preserve">published the first certain report of OFV from Hawaii.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Taking this information into consideration,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have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so the proximity of these mite vectors to citrus raises the question: why these trees are not currently infected with OFV-Orc? Each possibility suggest further research, but there are a few possible explanations. It is important to note thge uncertaintly surrounding the vector for OFV-Orc. There are three mite species which have been recovered from OFV-Orc infected plants:</w:t>
      </w:r>
      <w:r>
        <w:t xml:space="preserve"> </w:t>
      </w:r>
      <w:r>
        <w:rPr>
          <w:iCs/>
          <w:i/>
        </w:rPr>
        <w:t xml:space="preserve">B. californicus</w:t>
      </w:r>
      <w:r>
        <w:t xml:space="preserve"> </w:t>
      </w:r>
      <w:r>
        <w:t xml:space="preserve">(the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a number of potential factors, possibly including: host preferences, vectorial capacity, viral propagation/circulation in the vector, viral acquisition times, and feeding times required for transmission. Another possiblity is that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are not actually the same species as those found on citrus, and instead represent 2-3 different cryptic species.</w:t>
      </w:r>
    </w:p>
    <w:p>
      <w:pPr>
        <w:pStyle w:val="BodyText"/>
      </w:pPr>
      <w:r>
        <w:t xml:space="preserve">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they represent for the native plants, agriculture and the ornamental/landscaping industries of Florida and the surrounding regions.</w:t>
      </w:r>
    </w:p>
    <w:bookmarkEnd w:id="22"/>
    <w:bookmarkStart w:id="23"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3"/>
    <w:bookmarkStart w:id="79" w:name="references"/>
    <w:p>
      <w:pPr>
        <w:pStyle w:val="Heading3"/>
      </w:pPr>
      <w:r>
        <w:t xml:space="preserve">References</w:t>
      </w:r>
    </w:p>
    <w:bookmarkStart w:id="78" w:name="refs"/>
    <w:bookmarkStart w:id="24"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4"/>
    <w:bookmarkStart w:id="25"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5"/>
    <w:bookmarkStart w:id="26"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26"/>
    <w:bookmarkStart w:id="27"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27"/>
    <w:bookmarkStart w:id="28"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28"/>
    <w:bookmarkStart w:id="29"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w:t>
      </w:r>
      <w:r>
        <w:t xml:space="preserve"> </w:t>
      </w:r>
      <w:r>
        <w:t xml:space="preserve">Orchid fleck virus</w:t>
      </w:r>
      <w:r>
        <w:t xml:space="preserve"> </w:t>
      </w:r>
      <w:r>
        <w:t xml:space="preserve">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1"/>
    <w:bookmarkStart w:id="52"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2"/>
    <w:bookmarkStart w:id="53"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3"/>
    <w:bookmarkStart w:id="54"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4"/>
    <w:bookmarkStart w:id="55"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55"/>
    <w:bookmarkStart w:id="56"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56"/>
    <w:bookmarkStart w:id="57"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7"/>
    <w:bookmarkStart w:id="58"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58"/>
    <w:bookmarkStart w:id="59"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9"/>
    <w:bookmarkStart w:id="6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0"/>
    <w:bookmarkStart w:id="61"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1"/>
    <w:bookmarkStart w:id="6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2"/>
    <w:bookmarkStart w:id="63"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3"/>
    <w:bookmarkStart w:id="64"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64"/>
    <w:bookmarkStart w:id="65"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w:t>
      </w:r>
      <w:r>
        <w:t xml:space="preserve"> </w:t>
      </w:r>
      <w:r>
        <w:t xml:space="preserve">Ti ringspot-associated</w:t>
      </w:r>
      <w:r>
        <w:t xml:space="preserve"> </w:t>
      </w:r>
      <w:r>
        <w:t xml:space="preserve">virus, a novel emaravirus associated with an emerging ringspot disease of</w:t>
      </w:r>
      <w:r>
        <w:t xml:space="preserve"> </w:t>
      </w:r>
      <w:r>
        <w:rPr>
          <w:iCs/>
          <w:i/>
        </w:rPr>
        <w:t xml:space="preserve">Cordyline fruticosa</w:t>
      </w:r>
      <w:r>
        <w:t xml:space="preserve">. Plant Disease. 103: 2345–2352.</w:t>
      </w:r>
    </w:p>
    <w:bookmarkEnd w:id="65"/>
    <w:bookmarkStart w:id="6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6"/>
    <w:bookmarkStart w:id="67"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67"/>
    <w:bookmarkStart w:id="6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68"/>
    <w:bookmarkStart w:id="69"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9"/>
    <w:bookmarkStart w:id="70"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70"/>
    <w:bookmarkStart w:id="71"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71"/>
    <w:bookmarkStart w:id="72"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72"/>
    <w:bookmarkStart w:id="73"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73"/>
    <w:bookmarkStart w:id="74"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4"/>
    <w:bookmarkStart w:id="75"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75"/>
    <w:bookmarkStart w:id="76"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6"/>
    <w:bookmarkStart w:id="77"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7"/>
    <w:bookmarkEnd w:id="78"/>
    <w:bookmarkEnd w:id="79"/>
    <w:bookmarkStart w:id="80"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80"/>
    <w:bookmarkStart w:id="81"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81"/>
    <w:bookmarkStart w:id="86"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82"/>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83"/>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8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85"/>
                    <a:stretch>
                      <a:fillRect/>
                    </a:stretch>
                  </pic:blipFill>
                  <pic:spPr bwMode="auto">
                    <a:xfrm>
                      <a:off x="0" y="0"/>
                      <a:ext cx="5943600" cy="3962400"/>
                    </a:xfrm>
                    <a:prstGeom prst="rect">
                      <a:avLst/>
                    </a:prstGeom>
                    <a:noFill/>
                    <a:ln w="9525">
                      <a:noFill/>
                      <a:headEnd/>
                      <a:tailEnd/>
                    </a:ln>
                  </pic:spPr>
                </pic:pic>
              </a:graphicData>
            </a:graphic>
          </wp:inline>
        </w:drawing>
      </w:r>
    </w:p>
    <w:bookmarkEnd w:id="86"/>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2021-06-04T21:42:01Z</dcterms:created>
  <dcterms:modified xsi:type="dcterms:W3CDTF">2021-06-04T21:42:01Z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