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104.png" ContentType="image/png"/>
  <Override PartName="/word/media/rId105.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Brief</w:t>
      </w:r>
      <w:r>
        <w:t xml:space="preserve"> </w:t>
      </w:r>
      <w:r>
        <w:t xml:space="preserve">Communications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 sensu lato 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p>
      <w:pPr>
        <w:pStyle w:val="BodyText"/>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seperation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Taking this information into consideration,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so the proximity of these mite vectors to citrus raises the question: why these trees are not currently infected with OFV-Orc? Each possibility suggests further research, but there are a few possible explanations.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possibly including host preferences, vectorial capacity, viral propagation/circulation in the vector, viral acquisition times, and feeding times required for transmission.</w:t>
      </w:r>
      <w:r>
        <w:t xml:space="preserve"> </w:t>
      </w:r>
      <w:r>
        <w:t xml:space="preserve">Ferreira et al. (2020)</w:t>
      </w:r>
      <w:r>
        <w:t xml:space="preserve"> </w:t>
      </w:r>
      <w:r>
        <w:t xml:space="preserve">notes Another possibility is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and instead represent 2-3 different cryptic species.</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 other mite species may be applicable. The most common method used to control mites are synthetic acaricides and horticultural oils</w:t>
      </w:r>
      <w:r>
        <w:t xml:space="preserve"> </w:t>
      </w:r>
      <w:r>
        <w:t xml:space="preserve">(Gill et al. 2002, Leeuwen et al. 2015)</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w:t>
      </w:r>
      <w:r>
        <w:t xml:space="preserve">, possibly as the result of exposure to chemistry meant to control other arthropod pests</w:t>
      </w:r>
      <w:r>
        <w:t xml:space="preserve"> </w:t>
      </w:r>
      <w:r>
        <w:t xml:space="preserve">(Vechia et al. 2021)</w:t>
      </w:r>
      <w:r>
        <w:t xml:space="preserve">. Various biological control methods have been studied as well, but their use has not been widely adopted for various reasons</w:t>
      </w:r>
      <w:r>
        <w:t xml:space="preserve"> </w:t>
      </w:r>
      <w:r>
        <w:t xml:space="preserve">(Messing and Brodeur 2017)</w:t>
      </w:r>
      <w:r>
        <w:t xml:space="preserve">, but predatory mites</w:t>
      </w:r>
      <w:r>
        <w:t xml:space="preserve"> </w:t>
      </w:r>
      <w:r>
        <w:t xml:space="preserve">(Chen et al. 2006)</w:t>
      </w:r>
      <w:r>
        <w:t xml:space="preserve">, entomopathogenic fungi</w:t>
      </w:r>
      <w:r>
        <w:t xml:space="preserve"> </w:t>
      </w:r>
      <w:r>
        <w:t xml:space="preserve">(Reddy 2001, Midthassel et al. 2016)</w:t>
      </w:r>
      <w:r>
        <w:t xml:space="preserve">, host plant resistance</w:t>
      </w:r>
      <w:r>
        <w:t xml:space="preserve"> </w:t>
      </w:r>
      <w:r>
        <w:t xml:space="preserve">(Leeuwen et al. 2009)</w:t>
      </w:r>
      <w:r>
        <w:t xml:space="preserve">, and even ultraviolet radiation</w:t>
      </w:r>
      <w:r>
        <w:t xml:space="preserve"> </w:t>
      </w:r>
      <w:r>
        <w:t xml:space="preserve">(Osakabe 2021)</w:t>
      </w:r>
      <w:r>
        <w:t xml:space="preserve"> </w:t>
      </w:r>
      <w:r>
        <w:t xml:space="preserve">have shown some promise for controlling other plant-feeding mites. It is often possible to integrate different biological control techniques for improved control, such as combining predatory mites with entopathogenic fungi</w:t>
      </w:r>
      <w:r>
        <w:t xml:space="preserve"> </w:t>
      </w:r>
      <w:r>
        <w:t xml:space="preserve">(Reddy 2001, Midthassel et al. 2016)</w:t>
      </w:r>
      <w:r>
        <w:t xml:space="preserve">. However, it is still necessary to consider the biology of biological agents to avoid incompatibilities, such as cannibalism</w:t>
      </w:r>
      <w:r>
        <w:t xml:space="preserve"> </w:t>
      </w:r>
      <w:r>
        <w:t xml:space="preserve">(Cakmak et al. 2009)</w:t>
      </w:r>
      <w:r>
        <w:t xml:space="preserve">, requiring refuges</w:t>
      </w:r>
      <w:r>
        <w:t xml:space="preserve"> </w:t>
      </w:r>
      <w:r>
        <w:t xml:space="preserve">(Smith and Papacek 1991)</w:t>
      </w:r>
      <w:r>
        <w:t xml:space="preserve">, or reapplying after conventional pesticides are used</w:t>
      </w:r>
      <w:r>
        <w:t xml:space="preserve"> </w:t>
      </w:r>
      <w:r>
        <w:t xml:space="preserve">(Smith and Papacek 1991)</w:t>
      </w:r>
      <w:r>
        <w:t xml:space="preserve">. The predatory mite</w:t>
      </w:r>
      <w:r>
        <w:t xml:space="preserve"> </w:t>
      </w:r>
      <w:r>
        <w:rPr>
          <w:iCs/>
          <w:i/>
        </w:rPr>
        <w:t xml:space="preserve">Galendromus helveolus</w:t>
      </w:r>
      <w:r>
        <w:t xml:space="preserve"> </w:t>
      </w:r>
      <w:r>
        <w:t xml:space="preserve">(Chant) (Acari: Phytoseiidae) have been reported to feed on eggs, larvae and nymphs of</w:t>
      </w:r>
      <w:r>
        <w:t xml:space="preserve"> </w:t>
      </w:r>
      <w:r>
        <w:rPr>
          <w:iCs/>
          <w:i/>
        </w:rPr>
        <w:t xml:space="preserve">B. californicus</w:t>
      </w:r>
      <w:r>
        <w:t xml:space="preserve"> </w:t>
      </w:r>
      <w:r>
        <w:t xml:space="preserve">(Chen et al. 2006)</w:t>
      </w:r>
      <w:r>
        <w:t xml:space="preserve"> </w:t>
      </w:r>
      <w:r>
        <w:t xml:space="preserve">and studies of</w:t>
      </w:r>
      <w:r>
        <w:t xml:space="preserve"> </w:t>
      </w:r>
      <w:r>
        <w:rPr>
          <w:iCs/>
          <w:i/>
        </w:rPr>
        <w:t xml:space="preserve">Amblyseius largoensis</w:t>
      </w:r>
      <w:r>
        <w:t xml:space="preserve"> </w:t>
      </w:r>
      <w:r>
        <w:t xml:space="preserve">(Muma) (Acari: Phytoseiidae) demonstrated its ability to suppress populations of</w:t>
      </w:r>
      <w:r>
        <w:t xml:space="preserve"> </w:t>
      </w:r>
      <w:r>
        <w:rPr>
          <w:iCs/>
          <w:i/>
        </w:rPr>
        <w:t xml:space="preserve">B. yothersi</w:t>
      </w:r>
      <w:r>
        <w:t xml:space="preserve"> </w:t>
      </w:r>
      <w:r>
        <w:t xml:space="preserve">on citrus plants</w:t>
      </w:r>
      <w:r>
        <w:t xml:space="preserve"> </w:t>
      </w:r>
      <w:r>
        <w:t xml:space="preserve">(Argolo et al. 2020)</w:t>
      </w:r>
      <w:r>
        <w:t xml:space="preserve">. In addition, the entomopathogenic fungus</w:t>
      </w:r>
      <w:r>
        <w:t xml:space="preserve"> </w:t>
      </w:r>
      <w:r>
        <w:rPr>
          <w:iCs/>
          <w:i/>
        </w:rPr>
        <w:t xml:space="preserve">Metarhizium anisopliae</w:t>
      </w:r>
      <w:r>
        <w:t xml:space="preserve"> </w:t>
      </w:r>
      <w:r>
        <w:t xml:space="preserve">var.</w:t>
      </w:r>
      <w:r>
        <w:t xml:space="preserve"> </w:t>
      </w:r>
      <w:r>
        <w:rPr>
          <w:iCs/>
          <w:i/>
        </w:rPr>
        <w:t xml:space="preserve">acridum</w:t>
      </w:r>
      <w:r>
        <w:t xml:space="preserve"> </w:t>
      </w:r>
      <w:r>
        <w:t xml:space="preserve">was found to be pathogenic to</w:t>
      </w:r>
      <w:r>
        <w:t xml:space="preserve"> </w:t>
      </w:r>
      <w:r>
        <w:rPr>
          <w:iCs/>
          <w:i/>
        </w:rPr>
        <w:t xml:space="preserve">B. phoenicis</w:t>
      </w:r>
      <w:r>
        <w:t xml:space="preserve"> </w:t>
      </w:r>
      <w:r>
        <w:t xml:space="preserve">(Magalhães et al. 2005)</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García-Escamilla et al. 2018,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2"/>
    <w:bookmarkStart w:id="23"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3"/>
    <w:bookmarkStart w:id="100" w:name="references"/>
    <w:p>
      <w:pPr>
        <w:pStyle w:val="Heading3"/>
      </w:pPr>
      <w:r>
        <w:t xml:space="preserve">References</w:t>
      </w:r>
    </w:p>
    <w:bookmarkStart w:id="99" w:name="refs"/>
    <w:bookmarkStart w:id="24"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4"/>
    <w:bookmarkStart w:id="25"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27"/>
    <w:bookmarkStart w:id="28"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28"/>
    <w:bookmarkStart w:id="29"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29"/>
    <w:bookmarkStart w:id="30"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0"/>
    <w:bookmarkStart w:id="31"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1"/>
    <w:bookmarkStart w:id="32"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2"/>
    <w:bookmarkStart w:id="33"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3"/>
    <w:bookmarkStart w:id="34"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4"/>
    <w:bookmarkStart w:id="35"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5"/>
    <w:bookmarkStart w:id="36" w:name="ref-Cakmak2009"/>
    <w:p>
      <w:pPr>
        <w:pStyle w:val="Bibliography"/>
      </w:pPr>
      <w:r>
        <w:rPr>
          <w:bCs/>
          <w:b/>
        </w:rPr>
        <w:t xml:space="preserve">Cakmak, I., A. Janssen, M. W. Sabelis, and H. Baspinar</w:t>
      </w:r>
      <w:r>
        <w:t xml:space="preserve">.</w:t>
      </w:r>
      <w:r>
        <w:t xml:space="preserve"> </w:t>
      </w:r>
      <w:r>
        <w:rPr>
          <w:bCs/>
          <w:b/>
        </w:rPr>
        <w:t xml:space="preserve">2009</w:t>
      </w:r>
      <w:r>
        <w:t xml:space="preserve">. Biological control of an acarine pest by single and multiple natural enemies. Biological Control. 50: 60–65.</w:t>
      </w:r>
    </w:p>
    <w:bookmarkEnd w:id="36"/>
    <w:bookmarkStart w:id="37"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37"/>
    <w:bookmarkStart w:id="38"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8"/>
    <w:bookmarkStart w:id="39"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9"/>
    <w:bookmarkStart w:id="4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0"/>
    <w:bookmarkStart w:id="41"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1"/>
    <w:bookmarkStart w:id="42"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2"/>
    <w:bookmarkStart w:id="43"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3"/>
    <w:bookmarkStart w:id="44"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4"/>
    <w:bookmarkStart w:id="45"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5"/>
    <w:bookmarkStart w:id="46"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6"/>
    <w:bookmarkStart w:id="47"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7"/>
    <w:bookmarkStart w:id="48"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8"/>
    <w:bookmarkStart w:id="49"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9"/>
    <w:bookmarkStart w:id="50"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0"/>
    <w:bookmarkStart w:id="51"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1"/>
    <w:bookmarkStart w:id="5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2"/>
    <w:bookmarkStart w:id="53" w:name="ref-Ferreira2020"/>
    <w:p>
      <w:pPr>
        <w:pStyle w:val="Bibliography"/>
      </w:pPr>
      <w:r>
        <w:rPr>
          <w:bCs/>
          <w:b/>
        </w:rPr>
        <w:t xml:space="preserve">Ferreira, L. M., M. A. Nunes, T. E. Sinico, A. J. Soares, and V. M. Novelli</w:t>
      </w:r>
      <w:r>
        <w:t xml:space="preserve">.</w:t>
      </w:r>
      <w:r>
        <w:t xml:space="preserve"> </w:t>
      </w:r>
      <w:r>
        <w:rPr>
          <w:bCs/>
          <w:b/>
        </w:rPr>
        <w:t xml:space="preserve">2020</w:t>
      </w:r>
      <w:r>
        <w:t xml:space="preserve">.</w:t>
      </w:r>
      <w:r>
        <w:t xml:space="preserve"> </w:t>
      </w:r>
      <w:r>
        <w:rPr>
          <w:iCs/>
          <w:i/>
        </w:rPr>
        <w:t xml:space="preserve">Brevipalpus</w:t>
      </w:r>
      <w:r>
        <w:t xml:space="preserve"> </w:t>
      </w:r>
      <w:r>
        <w:t xml:space="preserve">species vectoring</w:t>
      </w:r>
      <w:r>
        <w:t xml:space="preserve"> </w:t>
      </w:r>
      <w:r>
        <w:t xml:space="preserve">Citrus leprosis virus</w:t>
      </w:r>
      <w:r>
        <w:t xml:space="preserve"> </w:t>
      </w:r>
      <w:r>
        <w:t xml:space="preserve">(</w:t>
      </w:r>
      <w:r>
        <w:rPr>
          <w:iCs/>
          <w:i/>
        </w:rPr>
        <w:t xml:space="preserve">Cilevirus</w:t>
      </w:r>
      <w:r>
        <w:t xml:space="preserve"> </w:t>
      </w:r>
      <w:r>
        <w:t xml:space="preserve">and</w:t>
      </w:r>
      <w:r>
        <w:t xml:space="preserve"> </w:t>
      </w:r>
      <w:r>
        <w:rPr>
          <w:iCs/>
          <w:i/>
        </w:rPr>
        <w:t xml:space="preserve">Dichorhavirus</w:t>
      </w:r>
      <w:r>
        <w:t xml:space="preserve">). Journal of Economic Entomology. 113: 1628–1634.</w:t>
      </w:r>
    </w:p>
    <w:bookmarkEnd w:id="53"/>
    <w:bookmarkStart w:id="54"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54"/>
    <w:bookmarkStart w:id="55" w:name="ref-Gill2002"/>
    <w:p>
      <w:pPr>
        <w:pStyle w:val="Bibliography"/>
      </w:pPr>
      <w:r>
        <w:rPr>
          <w:bCs/>
          <w:b/>
        </w:rPr>
        <w:t xml:space="preserve">Gill, S. A., R. Reeser, and P. Shrewsbury</w:t>
      </w:r>
      <w:r>
        <w:t xml:space="preserve">.</w:t>
      </w:r>
      <w:r>
        <w:t xml:space="preserve"> </w:t>
      </w:r>
      <w:r>
        <w:rPr>
          <w:bCs/>
          <w:b/>
        </w:rPr>
        <w:t xml:space="preserve">2002</w:t>
      </w:r>
      <w:r>
        <w:t xml:space="preserve">. Control of twospotted spider mite on</w:t>
      </w:r>
      <w:r>
        <w:t xml:space="preserve"> </w:t>
      </w:r>
      <w:r>
        <w:rPr>
          <w:iCs/>
          <w:i/>
        </w:rPr>
        <w:t xml:space="preserve">Liriope</w:t>
      </w:r>
      <w:r>
        <w:t xml:space="preserve">, 2001. Arthropod Management Tests. 27.</w:t>
      </w:r>
    </w:p>
    <w:bookmarkEnd w:id="55"/>
    <w:bookmarkStart w:id="56"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6"/>
    <w:bookmarkStart w:id="57"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7"/>
    <w:bookmarkStart w:id="5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58"/>
    <w:bookmarkStart w:id="5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9"/>
    <w:bookmarkStart w:id="60"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0"/>
    <w:bookmarkStart w:id="61"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1"/>
    <w:bookmarkStart w:id="6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2"/>
    <w:bookmarkStart w:id="6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3"/>
    <w:bookmarkStart w:id="64"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4"/>
    <w:bookmarkStart w:id="65"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5"/>
    <w:bookmarkStart w:id="66"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66"/>
    <w:bookmarkStart w:id="67"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67"/>
    <w:bookmarkStart w:id="68"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68"/>
    <w:bookmarkStart w:id="69"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69"/>
    <w:bookmarkStart w:id="70" w:name="ref-Leeuwen2015"/>
    <w:p>
      <w:pPr>
        <w:pStyle w:val="Bibliography"/>
      </w:pPr>
      <w:r>
        <w:rPr>
          <w:bCs/>
          <w:b/>
        </w:rPr>
        <w:t xml:space="preserve">Leeuwen, T. V., L. Tirry, A. Yamamoto, R. Nauen, and W. Dermauw</w:t>
      </w:r>
      <w:r>
        <w:t xml:space="preserve">.</w:t>
      </w:r>
      <w:r>
        <w:t xml:space="preserve"> </w:t>
      </w:r>
      <w:r>
        <w:rPr>
          <w:bCs/>
          <w:b/>
        </w:rPr>
        <w:t xml:space="preserve">2015</w:t>
      </w:r>
      <w:r>
        <w:t xml:space="preserve">. The economic importance of acaricides in the control of phytophagous mites and an update on recent acaricide mode of action research. Pesticide Biochemistry and Physiology. 121: 12–21.</w:t>
      </w:r>
    </w:p>
    <w:bookmarkEnd w:id="70"/>
    <w:bookmarkStart w:id="71" w:name="ref-Leeuwen2009"/>
    <w:p>
      <w:pPr>
        <w:pStyle w:val="Bibliography"/>
      </w:pPr>
      <w:r>
        <w:rPr>
          <w:bCs/>
          <w:b/>
        </w:rPr>
        <w:t xml:space="preserve">Leeuwen, T. V., J. Witters, R. Nauen, C. Duso, and L. Tirry</w:t>
      </w:r>
      <w:r>
        <w:t xml:space="preserve">.</w:t>
      </w:r>
      <w:r>
        <w:t xml:space="preserve"> </w:t>
      </w:r>
      <w:r>
        <w:rPr>
          <w:bCs/>
          <w:b/>
        </w:rPr>
        <w:t xml:space="preserve">2009</w:t>
      </w:r>
      <w:r>
        <w:t xml:space="preserve">. The control of eriophyoid mites: State of the art and future challenges. Experimental and Applied Acarology. 51: 205–224.</w:t>
      </w:r>
    </w:p>
    <w:bookmarkEnd w:id="71"/>
    <w:bookmarkStart w:id="72"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72"/>
    <w:bookmarkStart w:id="73"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73"/>
    <w:bookmarkStart w:id="74"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4"/>
    <w:bookmarkStart w:id="75"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5"/>
    <w:bookmarkStart w:id="76"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6"/>
    <w:bookmarkStart w:id="77"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7"/>
    <w:bookmarkStart w:id="78" w:name="ref-Messing2017"/>
    <w:p>
      <w:pPr>
        <w:pStyle w:val="Bibliography"/>
      </w:pPr>
      <w:r>
        <w:rPr>
          <w:bCs/>
          <w:b/>
        </w:rPr>
        <w:t xml:space="preserve">Messing, R., and J. Brodeur</w:t>
      </w:r>
      <w:r>
        <w:t xml:space="preserve">.</w:t>
      </w:r>
      <w:r>
        <w:t xml:space="preserve"> </w:t>
      </w:r>
      <w:r>
        <w:rPr>
          <w:bCs/>
          <w:b/>
        </w:rPr>
        <w:t xml:space="preserve">2017</w:t>
      </w:r>
      <w:r>
        <w:t xml:space="preserve">. Current challenges to the implementation of classical biological control.</w:t>
      </w:r>
      <w:r>
        <w:t xml:space="preserve"> </w:t>
      </w:r>
      <w:r>
        <w:t xml:space="preserve">BioControl</w:t>
      </w:r>
      <w:r>
        <w:t xml:space="preserve">. 63: 1–9.</w:t>
      </w:r>
    </w:p>
    <w:bookmarkEnd w:id="78"/>
    <w:bookmarkStart w:id="79"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79"/>
    <w:bookmarkStart w:id="8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80"/>
    <w:bookmarkStart w:id="81"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81"/>
    <w:bookmarkStart w:id="82" w:name="ref-Osakabe2021"/>
    <w:p>
      <w:pPr>
        <w:pStyle w:val="Bibliography"/>
      </w:pPr>
      <w:r>
        <w:rPr>
          <w:bCs/>
          <w:b/>
        </w:rPr>
        <w:t xml:space="preserve">Osakabe, M.</w:t>
      </w:r>
      <w:r>
        <w:t xml:space="preserve"> </w:t>
      </w:r>
      <w:r>
        <w:rPr>
          <w:bCs/>
          <w:b/>
        </w:rPr>
        <w:t xml:space="preserve">2021</w:t>
      </w:r>
      <w:r>
        <w:t xml:space="preserve">. Biological impact of ultraviolet-</w:t>
      </w:r>
      <w:r>
        <w:t xml:space="preserve">B</w:t>
      </w:r>
      <w:r>
        <w:t xml:space="preserve"> </w:t>
      </w:r>
      <w:r>
        <w:t xml:space="preserve">radiation on spider mites and its application in integrated pest management. Applied Entomology and Zoology. 56: 139–155.</w:t>
      </w:r>
    </w:p>
    <w:bookmarkEnd w:id="82"/>
    <w:bookmarkStart w:id="83"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83"/>
    <w:bookmarkStart w:id="84"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84"/>
    <w:bookmarkStart w:id="85"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5"/>
    <w:bookmarkStart w:id="86"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6"/>
    <w:bookmarkStart w:id="87"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7"/>
    <w:bookmarkStart w:id="88"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88"/>
    <w:bookmarkStart w:id="89"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89"/>
    <w:bookmarkStart w:id="90"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90"/>
    <w:bookmarkStart w:id="91" w:name="ref-Smith1991"/>
    <w:p>
      <w:pPr>
        <w:pStyle w:val="Bibliography"/>
      </w:pPr>
      <w:r>
        <w:rPr>
          <w:bCs/>
          <w:b/>
        </w:rPr>
        <w:t xml:space="preserve">Smith, D., and D. F. Papacek</w:t>
      </w:r>
      <w:r>
        <w:t xml:space="preserve">.</w:t>
      </w:r>
      <w:r>
        <w:t xml:space="preserve"> </w:t>
      </w:r>
      <w:r>
        <w:rPr>
          <w:bCs/>
          <w:b/>
        </w:rPr>
        <w:t xml:space="preserve">1991</w:t>
      </w:r>
      <w:r>
        <w:t xml:space="preserve">. Studies of the predatory mite</w:t>
      </w:r>
      <w:r>
        <w:t xml:space="preserve"> </w:t>
      </w:r>
      <w:r>
        <w:rPr>
          <w:iCs/>
          <w:i/>
        </w:rPr>
        <w:t xml:space="preserve">Amblyseius victoriensis</w:t>
      </w:r>
      <w:r>
        <w:t xml:space="preserve"> </w:t>
      </w:r>
      <w:r>
        <w:t xml:space="preserve">(</w:t>
      </w:r>
      <w:r>
        <w:t xml:space="preserve">Acarina</w:t>
      </w:r>
      <w:r>
        <w:t xml:space="preserve">:</w:t>
      </w:r>
      <w:r>
        <w:t xml:space="preserve"> </w:t>
      </w:r>
      <w:r>
        <w:t xml:space="preserve">Phytoseiidae</w:t>
      </w:r>
      <w:r>
        <w:t xml:space="preserve">) in citrus orchards in south-east</w:t>
      </w:r>
      <w:r>
        <w:t xml:space="preserve"> </w:t>
      </w:r>
      <w:r>
        <w:t xml:space="preserve">Queensland</w:t>
      </w:r>
      <w:r>
        <w:t xml:space="preserve">: Control of</w:t>
      </w:r>
      <w:r>
        <w:t xml:space="preserve"> </w:t>
      </w:r>
      <w:r>
        <w:rPr>
          <w:iCs/>
          <w:i/>
        </w:rPr>
        <w:t xml:space="preserve">Tegolophus australis</w:t>
      </w:r>
      <w:r>
        <w:t xml:space="preserve"> </w:t>
      </w:r>
      <w:r>
        <w:t xml:space="preserve">and</w:t>
      </w:r>
      <w:r>
        <w:t xml:space="preserve"> </w:t>
      </w:r>
      <w:r>
        <w:rPr>
          <w:iCs/>
          <w:i/>
        </w:rPr>
        <w:t xml:space="preserve">Phyllocoptruta oleivora</w:t>
      </w:r>
      <w:r>
        <w:t xml:space="preserve"> </w:t>
      </w:r>
      <w:r>
        <w:t xml:space="preserve">(</w:t>
      </w:r>
      <w:r>
        <w:t xml:space="preserve">Acarina</w:t>
      </w:r>
      <w:r>
        <w:t xml:space="preserve">:</w:t>
      </w:r>
      <w:r>
        <w:t xml:space="preserve"> </w:t>
      </w:r>
      <w:r>
        <w:t xml:space="preserve">Eriophyidae</w:t>
      </w:r>
      <w:r>
        <w:t xml:space="preserve">), effect of pesticides, alternative host plants and augmentative release. Experimental and Applied Acarology. 12: 195–217.</w:t>
      </w:r>
    </w:p>
    <w:bookmarkEnd w:id="91"/>
    <w:bookmarkStart w:id="92"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92"/>
    <w:bookmarkStart w:id="93"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3"/>
    <w:bookmarkStart w:id="94"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4"/>
    <w:bookmarkStart w:id="95"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5"/>
    <w:bookmarkStart w:id="96"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6"/>
    <w:bookmarkStart w:id="97"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7"/>
    <w:bookmarkStart w:id="98"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98"/>
    <w:bookmarkEnd w:id="99"/>
    <w:bookmarkEnd w:id="100"/>
    <w:bookmarkStart w:id="101"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1"/>
    <w:bookmarkStart w:id="102"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102"/>
    <w:bookmarkStart w:id="107"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6"/>
                    <a:stretch>
                      <a:fillRect/>
                    </a:stretch>
                  </pic:blipFill>
                  <pic:spPr bwMode="auto">
                    <a:xfrm>
                      <a:off x="0" y="0"/>
                      <a:ext cx="5943600" cy="3962400"/>
                    </a:xfrm>
                    <a:prstGeom prst="rect">
                      <a:avLst/>
                    </a:prstGeom>
                    <a:noFill/>
                    <a:ln w="9525">
                      <a:noFill/>
                      <a:headEnd/>
                      <a:tailEnd/>
                    </a:ln>
                  </pic:spPr>
                </pic:pic>
              </a:graphicData>
            </a:graphic>
          </wp:inline>
        </w:drawing>
      </w:r>
    </w:p>
    <w:bookmarkEnd w:id="107"/>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2021-06-10T20:59:09Z</dcterms:created>
  <dcterms:modified xsi:type="dcterms:W3CDTF">2021-06-10T20:59:09Z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