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0.png" ContentType="image/png"/>
  <Override PartName="/word/media/rId81.png" ContentType="image/png"/>
  <Override PartName="/word/media/rId8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was seen affecting Liriopogons (</w:t>
      </w:r>
      <w:r>
        <w:rPr>
          <w:iCs/>
          <w:i/>
        </w:rPr>
        <w:t xml:space="preserve">Liriope</w:t>
      </w:r>
      <w:r>
        <w:t xml:space="preserve"> </w:t>
      </w:r>
      <w:r>
        <w:t xml:space="preserve">spp. 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w:t>
      </w:r>
      <w:r>
        <w:t xml:space="preserve"> </w:t>
      </w:r>
      <w:r>
        <w:rPr>
          <w:iCs/>
          <w:i/>
        </w:rPr>
        <w:t xml:space="preserve">Rhabdoviridae</w:t>
      </w:r>
      <w:r>
        <w:t xml:space="preserv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known vectors of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larger spots or ringspot patterns</w:t>
      </w:r>
      <w:r>
        <w:t xml:space="preserve"> </w:t>
      </w:r>
      <w:r>
        <w:t xml:space="preserve">.</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As initial diagnostics were inconclusive, new samples were collected during July and August of 2020 to collect more of these putatively-infected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mite samples were collected from symptomatic Asparagaceae in Leon county. The majority of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p>
      <w:pPr>
        <w:pStyle w:val="BodyText"/>
      </w:pPr>
      <w:r>
        <w:t xml:space="preserve">Mite taxonomy is perturbed by the cryptic species complexes which exist in many plant-feeding species of the Acari</w:t>
      </w:r>
      <w:r>
        <w:t xml:space="preserve"> </w:t>
      </w:r>
      <w:r>
        <w:t xml:space="preserve">(Skoracka and Dabert 2010,</w:t>
      </w:r>
      <w:r>
        <w:t xml:space="preserve"> </w:t>
      </w:r>
      <w:r>
        <w:rPr>
          <w:bCs/>
          <w:b/>
        </w:rPr>
        <w:t xml:space="preserve">Arthur2011?</w:t>
      </w:r>
      <w:r>
        <w:t xml:space="preserve">,</w:t>
      </w:r>
      <w:r>
        <w:t xml:space="preserve"> </w:t>
      </w:r>
      <w:r>
        <w:rPr>
          <w:bCs/>
          <w:b/>
        </w:rPr>
        <w:t xml:space="preserve">Skoracka2013?</w:t>
      </w:r>
      <w:r>
        <w:t xml:space="preserve">,</w:t>
      </w:r>
      <w:r>
        <w:t xml:space="preserve"> </w:t>
      </w:r>
      <w:r>
        <w:rPr>
          <w:bCs/>
          <w:b/>
        </w:rPr>
        <w:t xml:space="preserve">Umina1999?</w:t>
      </w:r>
      <w:r>
        <w:t xml:space="preserve">)</w:t>
      </w:r>
      <w:r>
        <w:t xml:space="preserve">, including tenuipalpid mites from the common genus</w:t>
      </w:r>
      <w:r>
        <w:t xml:space="preserve"> </w:t>
      </w:r>
      <w:r>
        <w:rPr>
          <w:iCs/>
          <w:i/>
        </w:rPr>
        <w:t xml:space="preserve">Brevipalpus</w:t>
      </w:r>
      <w:r>
        <w:t xml:space="preserve"> </w:t>
      </w:r>
      <w:r>
        <w:t xml:space="preserve">(</w:t>
      </w:r>
      <w:r>
        <w:rPr>
          <w:bCs/>
          <w:b/>
        </w:rPr>
        <w:t xml:space="preserve">Navia2013?</w:t>
      </w:r>
      <w:r>
        <w:t xml:space="preserve">)</w:t>
      </w:r>
      <w:r>
        <w:t xml:space="preserve">. Notwithstanding, additional techniques in addition to basic light microscopy can help to find characters necessary to separate species groups, including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s. l. after inspection with phase contrast microscopy. Subsequent observation via Differential Interference Contrast (DIC) microscopy at FDACS agreed with this tentative identification. Unfortunately, the</w:t>
      </w:r>
      <w:r>
        <w:t xml:space="preserve"> </w:t>
      </w:r>
      <w:r>
        <w:rPr>
          <w:iCs/>
          <w:i/>
        </w:rPr>
        <w:t xml:space="preserve">B. californicus</w:t>
      </w:r>
      <w:r>
        <w:t xml:space="preserve"> </w:t>
      </w:r>
      <w:r>
        <w:t xml:space="preserve">s. 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w:t>
      </w:r>
      <w:r>
        <w:t xml:space="preserve">as well.</w:t>
      </w:r>
    </w:p>
    <w:p>
      <w:pPr>
        <w:pStyle w:val="BodyText"/>
      </w:pPr>
      <w:r>
        <w:t xml:space="preserve">With this information in mind,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Baker and</w:t>
      </w:r>
      <w:r>
        <w:t xml:space="preserve"> </w:t>
      </w:r>
      <w:r>
        <w:rPr>
          <w:iCs/>
          <w:i/>
        </w:rPr>
        <w:t xml:space="preserve">B. confusus</w:t>
      </w:r>
      <w:r>
        <w:t xml:space="preserve"> </w:t>
      </w:r>
      <w:r>
        <w:t xml:space="preserve">Donnadieu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belonged to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has not been reported in any of these plants in the US. The</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is considered a synonym of</w:t>
      </w:r>
      <w:r>
        <w:t xml:space="preserve"> </w:t>
      </w:r>
      <w:r>
        <w:rPr>
          <w:iCs/>
          <w:i/>
        </w:rPr>
        <w:t xml:space="preserve">Liriope gigantea</w:t>
      </w:r>
      <w:r>
        <w:t xml:space="preserve"> </w:t>
      </w:r>
      <w:r>
        <w:t xml:space="preserve">Hume</w:t>
      </w:r>
      <w:r>
        <w:t xml:space="preserve"> </w:t>
      </w:r>
      <w:r>
        <w:t xml:space="preserve">(Wang et al. 2014, Masiero et al. 2020)</w:t>
      </w:r>
      <w:r>
        <w:t xml:space="preserve">, but some consider it a separate species</w:t>
      </w:r>
      <w:r>
        <w:t xml:space="preserve"> </w:t>
      </w:r>
      <w:r>
        <w:t xml:space="preserve">(Fantz et al. 2015)</w:t>
      </w:r>
      <w:r>
        <w:t xml:space="preserve">. We are not aware of any previous report of OFV-Orc infection in</w:t>
      </w:r>
      <w:r>
        <w:t xml:space="preserve"> </w:t>
      </w:r>
      <w:r>
        <w:rPr>
          <w:iCs/>
          <w:i/>
        </w:rPr>
        <w:t xml:space="preserve">Ophiopogon</w:t>
      </w:r>
      <w:r>
        <w:t xml:space="preserve"> </w:t>
      </w:r>
      <w:r>
        <w:t xml:space="preserve">plants.</w:t>
      </w:r>
      <w:r>
        <w:t xml:space="preserve"> </w:t>
      </w:r>
      <w:r>
        <w:t xml:space="preserve">Zheng et al. (2013)</w:t>
      </w:r>
      <w:r>
        <w:t xml:space="preserve"> </w:t>
      </w:r>
      <w:r>
        <w:t xml:space="preserve">does mention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but they never reported symptoms of OFV-Orc in this plant. However, we believe that our findings indicate the first report of OFV-Orc infecting ornamentals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Ophopogon</w:t>
      </w:r>
      <w:r>
        <w:t xml:space="preserve"> </w:t>
      </w:r>
      <w:r>
        <w:t xml:space="preserve">spp. as natural hosts of OFV-Orc.</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w:t>
      </w:r>
      <w:r>
        <w:rPr>
          <w:bCs/>
          <w:b/>
        </w:rPr>
        <w:t xml:space="preserve">Armstrong2005?</w:t>
      </w:r>
      <w:r>
        <w:t xml:space="preserve">)</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they represent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6" w:name="references"/>
    <w:p>
      <w:pPr>
        <w:pStyle w:val="Heading3"/>
      </w:pPr>
      <w:r>
        <w:t xml:space="preserve">References</w:t>
      </w:r>
    </w:p>
    <w:bookmarkStart w:id="75"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w:t>
      </w:r>
      <w:r>
        <w:t xml:space="preserve"> </w:t>
      </w:r>
      <w:r>
        <w:t xml:space="preserve">Orchid fleck virus</w:t>
      </w:r>
      <w:r>
        <w:t xml:space="preserve"> </w:t>
      </w:r>
      <w:r>
        <w:t xml:space="preserve">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1"/>
    <w:bookmarkStart w:id="52"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2"/>
    <w:bookmarkStart w:id="53"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3"/>
    <w:bookmarkStart w:id="54"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4"/>
    <w:bookmarkStart w:id="55"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55"/>
    <w:bookmarkStart w:id="56"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56"/>
    <w:bookmarkStart w:id="57"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7"/>
    <w:bookmarkStart w:id="58"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58"/>
    <w:bookmarkStart w:id="59"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9"/>
    <w:bookmarkStart w:id="6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0"/>
    <w:bookmarkStart w:id="61"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1"/>
    <w:bookmarkStart w:id="6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2"/>
    <w:bookmarkStart w:id="63"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3"/>
    <w:bookmarkStart w:id="64"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w:t>
      </w:r>
      <w:r>
        <w:t xml:space="preserve"> </w:t>
      </w:r>
      <w:r>
        <w:t xml:space="preserve">Ti ringspot-associated</w:t>
      </w:r>
      <w:r>
        <w:t xml:space="preserve"> </w:t>
      </w:r>
      <w:r>
        <w:t xml:space="preserve">virus, a novel emaravirus associated with an emerging ringspot disease of</w:t>
      </w:r>
      <w:r>
        <w:t xml:space="preserve"> </w:t>
      </w:r>
      <w:r>
        <w:rPr>
          <w:iCs/>
          <w:i/>
        </w:rPr>
        <w:t xml:space="preserve">Cordyline fruticosa</w:t>
      </w:r>
      <w:r>
        <w:t xml:space="preserve">. Plant Disease. 103: 2345–2352.</w:t>
      </w:r>
    </w:p>
    <w:bookmarkEnd w:id="64"/>
    <w:bookmarkStart w:id="65"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5"/>
    <w:bookmarkStart w:id="66"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66"/>
    <w:bookmarkStart w:id="67"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67"/>
    <w:bookmarkStart w:id="68"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8"/>
    <w:bookmarkStart w:id="69"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69"/>
    <w:bookmarkStart w:id="70"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70"/>
    <w:bookmarkStart w:id="71"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1"/>
    <w:bookmarkStart w:id="72"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72"/>
    <w:bookmarkStart w:id="73"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3"/>
    <w:bookmarkStart w:id="74"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4"/>
    <w:bookmarkEnd w:id="75"/>
    <w:bookmarkEnd w:id="76"/>
    <w:bookmarkStart w:id="77"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7"/>
    <w:bookmarkStart w:id="78"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8"/>
    <w:bookmarkStart w:id="83"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80"/>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81"/>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82"/>
                    <a:stretch>
                      <a:fillRect/>
                    </a:stretch>
                  </pic:blipFill>
                  <pic:spPr bwMode="auto">
                    <a:xfrm>
                      <a:off x="0" y="0"/>
                      <a:ext cx="5943600" cy="3962400"/>
                    </a:xfrm>
                    <a:prstGeom prst="rect">
                      <a:avLst/>
                    </a:prstGeom>
                    <a:noFill/>
                    <a:ln w="9525">
                      <a:noFill/>
                      <a:headEnd/>
                      <a:tailEnd/>
                    </a:ln>
                  </pic:spPr>
                </pic:pic>
              </a:graphicData>
            </a:graphic>
          </wp:inline>
        </w:drawing>
      </w:r>
    </w:p>
    <w:bookmarkEnd w:id="83"/>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2021-06-03T21:21:34Z</dcterms:created>
  <dcterms:modified xsi:type="dcterms:W3CDTF">2021-06-03T21:21:34Z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