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2.png" ContentType="image/png"/>
  <Override PartName="/word/media/rId103.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1a04bc579998822353b593ce273c6120226a53f"/>
    <w:p>
      <w:pPr>
        <w:pStyle w:val="Heading3"/>
      </w:pPr>
      <w:r>
        <w:rPr>
          <w:iCs/>
          <w:i/>
        </w:rPr>
        <w:t xml:space="preserve">Brevipalpus</w:t>
      </w:r>
      <w:r>
        <w:t xml:space="preserve">-transmitted (Trombidiformes: Tenuipalpidae)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belonging to the orchid-infecting subgroup (OFV-Orc),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OFV were detected via combinations of conventional RT-PCR, RT-qPCR, Sanger sequencing and High Throughput Sequencing. Amplicons shared 98% nucleotide identity with OFV-Orc1 and OFV-Orc2 RNA2 genome sequences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 OFV is present in northern Florida, representing a risk for susceptible plants in the southeastern US.</w:t>
      </w:r>
    </w:p>
    <w:bookmarkEnd w:id="21"/>
    <w:bookmarkStart w:id="24"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2"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which were suspected to be infected, due to both its proximity to infected</w:t>
      </w:r>
      <w:r>
        <w:t xml:space="preserve"> </w:t>
      </w:r>
      <w:r>
        <w:rPr>
          <w:iCs/>
          <w:i/>
        </w:rPr>
        <w:t xml:space="preserve">Liriope</w:t>
      </w:r>
      <w:r>
        <w:t xml:space="preserve"> </w:t>
      </w:r>
      <w:r>
        <w:t xml:space="preserve">and the presence of unusually chlorotic leaves (Fig. 2). Plant materials were sent to the Florida Department of Agriculture and Consumer Services (FDACS) for identification.</w:t>
      </w:r>
    </w:p>
    <w:p>
      <w:pPr>
        <w:pStyle w:val="BodyText"/>
      </w:pPr>
      <w:r>
        <w:t xml:space="preserve">The FDACS determined that the pathogen was OFV using previously published primers and methods to conduct RT-PCR and Sanger sequencing</w:t>
      </w:r>
      <w:r>
        <w:t xml:space="preserve"> </w:t>
      </w:r>
      <w:r>
        <w:t xml:space="preserve">(Kubo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USDA-APHIS-PPQ S&amp;T Beltsville laboratory, in conjunction with tests of fresh samples from both Alachua and Leon counties. The USDA used RT-PCR, RT-qPCR, and High Throughput Sequencing (HTS) to reconfirm the presence of OFV.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 OFV-Orc1 and OFV-Orc2 strains share &gt;90% nt sequence identity, and differ &gt;25% in the L gene nucleotide sequence, indicating two separate species of</w:t>
      </w:r>
      <w:r>
        <w:t xml:space="preserve"> </w:t>
      </w:r>
      <w:r>
        <w:rPr>
          <w:iCs/>
          <w:i/>
        </w:rPr>
        <w:t xml:space="preserve">Dichoravirus</w:t>
      </w:r>
      <w:r>
        <w:t xml:space="preserve"> </w:t>
      </w:r>
      <w:r>
        <w:t xml:space="preserve">(Dietzgen et al. 2014)</w:t>
      </w:r>
      <w:r>
        <w:t xml:space="preserve">.</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2"/>
    <w:bookmarkStart w:id="23"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The recent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3"/>
    <w:bookmarkEnd w:id="24"/>
    <w:bookmarkStart w:id="25"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strains, as well as</w:t>
      </w:r>
      <w:r>
        <w:t xml:space="preserve"> </w:t>
      </w:r>
      <w:r>
        <w:rPr>
          <w:iCs/>
          <w:i/>
        </w:rPr>
        <w:t xml:space="preserve">Brevipalpus</w:t>
      </w:r>
      <w:r>
        <w:t xml:space="preserve"> </w:t>
      </w:r>
      <w:r>
        <w:t xml:space="preserve">mite identification.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5"/>
    <w:bookmarkStart w:id="99" w:name="references"/>
    <w:p>
      <w:pPr>
        <w:pStyle w:val="Heading3"/>
      </w:pPr>
      <w:r>
        <w:t xml:space="preserve">References</w:t>
      </w:r>
    </w:p>
    <w:bookmarkStart w:id="98" w:name="refs"/>
    <w:bookmarkStart w:id="26"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6"/>
    <w:bookmarkStart w:id="27"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w:t>
      </w:r>
    </w:p>
    <w:bookmarkEnd w:id="27"/>
    <w:bookmarkStart w:id="28"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8"/>
    <w:bookmarkStart w:id="29"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w:t>
      </w:r>
    </w:p>
    <w:bookmarkEnd w:id="29"/>
    <w:bookmarkStart w:id="30"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w:t>
      </w:r>
    </w:p>
    <w:bookmarkEnd w:id="30"/>
    <w:bookmarkStart w:id="31"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w:t>
      </w:r>
    </w:p>
    <w:bookmarkEnd w:id="31"/>
    <w:bookmarkStart w:id="32"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32"/>
    <w:bookmarkStart w:id="33"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33"/>
    <w:bookmarkStart w:id="3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34"/>
    <w:bookmarkStart w:id="3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35"/>
    <w:bookmarkStart w:id="36"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6"/>
    <w:bookmarkStart w:id="3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7"/>
    <w:bookmarkStart w:id="38"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8"/>
    <w:bookmarkStart w:id="39"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9"/>
    <w:bookmarkStart w:id="40"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w:t>
      </w:r>
    </w:p>
    <w:bookmarkEnd w:id="40"/>
    <w:bookmarkStart w:id="41"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41"/>
    <w:bookmarkStart w:id="42"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42"/>
    <w:bookmarkStart w:id="43"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43"/>
    <w:bookmarkStart w:id="44"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w:t>
      </w:r>
    </w:p>
    <w:bookmarkEnd w:id="44"/>
    <w:bookmarkStart w:id="45"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45"/>
    <w:bookmarkStart w:id="4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6"/>
    <w:bookmarkStart w:id="47"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7"/>
    <w:bookmarkStart w:id="48"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8"/>
    <w:bookmarkStart w:id="49"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9"/>
    <w:bookmarkStart w:id="50"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50"/>
    <w:bookmarkStart w:id="51"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51"/>
    <w:bookmarkStart w:id="52"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52"/>
    <w:bookmarkStart w:id="53"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3"/>
    <w:bookmarkStart w:id="54"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4"/>
    <w:bookmarkStart w:id="55"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w:t>
      </w:r>
    </w:p>
    <w:bookmarkEnd w:id="55"/>
    <w:bookmarkStart w:id="56"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56"/>
    <w:bookmarkStart w:id="57"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w:t>
      </w:r>
    </w:p>
    <w:bookmarkEnd w:id="57"/>
    <w:bookmarkStart w:id="5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58"/>
    <w:bookmarkStart w:id="59"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9"/>
    <w:bookmarkStart w:id="60"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0"/>
    <w:bookmarkStart w:id="61"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61"/>
    <w:bookmarkStart w:id="6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2"/>
    <w:bookmarkStart w:id="6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3"/>
    <w:bookmarkStart w:id="64"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64"/>
    <w:bookmarkStart w:id="65"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5"/>
    <w:bookmarkStart w:id="66"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66"/>
    <w:bookmarkStart w:id="67"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67"/>
    <w:bookmarkStart w:id="68"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8"/>
    <w:bookmarkStart w:id="69"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w:t>
      </w:r>
    </w:p>
    <w:bookmarkEnd w:id="69"/>
    <w:bookmarkStart w:id="7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0"/>
    <w:bookmarkStart w:id="71"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1"/>
    <w:bookmarkStart w:id="7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2"/>
    <w:bookmarkStart w:id="73"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73"/>
    <w:bookmarkStart w:id="74"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w:t>
      </w:r>
    </w:p>
    <w:bookmarkEnd w:id="74"/>
    <w:bookmarkStart w:id="75"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75"/>
    <w:bookmarkStart w:id="76"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w:t>
      </w:r>
    </w:p>
    <w:bookmarkEnd w:id="76"/>
    <w:bookmarkStart w:id="77"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7"/>
    <w:bookmarkStart w:id="7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w:t>
      </w:r>
    </w:p>
    <w:bookmarkEnd w:id="78"/>
    <w:bookmarkStart w:id="79"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79"/>
    <w:bookmarkStart w:id="80"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w:t>
      </w:r>
    </w:p>
    <w:bookmarkEnd w:id="80"/>
    <w:bookmarkStart w:id="81"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w:t>
      </w:r>
    </w:p>
    <w:bookmarkEnd w:id="81"/>
    <w:bookmarkStart w:id="82"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w:t>
      </w:r>
    </w:p>
    <w:bookmarkEnd w:id="82"/>
    <w:bookmarkStart w:id="83"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83"/>
    <w:bookmarkStart w:id="84"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w:t>
      </w:r>
    </w:p>
    <w:bookmarkEnd w:id="84"/>
    <w:bookmarkStart w:id="8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85"/>
    <w:bookmarkStart w:id="8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86"/>
    <w:bookmarkStart w:id="87"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87"/>
    <w:bookmarkStart w:id="8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88"/>
    <w:bookmarkStart w:id="89"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89"/>
    <w:bookmarkStart w:id="90" w:name="ref-Vacante2010"/>
    <w:p>
      <w:pPr>
        <w:pStyle w:val="Bibliography"/>
      </w:pPr>
      <w:r>
        <w:rPr>
          <w:bCs/>
          <w:b/>
        </w:rPr>
        <w:t xml:space="preserve">Vacante, V.</w:t>
      </w:r>
      <w:r>
        <w:t xml:space="preserve"> </w:t>
      </w:r>
      <w:r>
        <w:rPr>
          <w:bCs/>
          <w:b/>
        </w:rPr>
        <w:t xml:space="preserve">2010</w:t>
      </w:r>
      <w:r>
        <w:t xml:space="preserve">. Citrus mites: Identification, bionomy and control. PAPERBACKSHOP UK IMPORT.</w:t>
      </w:r>
    </w:p>
    <w:bookmarkEnd w:id="90"/>
    <w:bookmarkStart w:id="91"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PAPERBACKSHOP UK IMPORT.</w:t>
      </w:r>
    </w:p>
    <w:bookmarkEnd w:id="91"/>
    <w:bookmarkStart w:id="92"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2"/>
    <w:bookmarkStart w:id="93"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w:t>
      </w:r>
    </w:p>
    <w:bookmarkEnd w:id="93"/>
    <w:bookmarkStart w:id="94"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94"/>
    <w:bookmarkStart w:id="95"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95"/>
    <w:bookmarkStart w:id="96"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96"/>
    <w:bookmarkStart w:id="97"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97"/>
    <w:bookmarkEnd w:id="98"/>
    <w:bookmarkEnd w:id="99"/>
    <w:bookmarkStart w:id="100" w:name="X939cdb20ca6cfb28ab46654545496e01e256375"/>
    <w:p>
      <w:pPr>
        <w:pStyle w:val="Heading3"/>
      </w:pPr>
      <w:r>
        <w:t xml:space="preserve">Table 1: List of Asparagaceae (Nolinoidaea) species with verified cases of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all host species.</w:t>
      </w:r>
    </w:p>
    <w:bookmarkEnd w:id="100"/>
    <w:bookmarkStart w:id="101"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virus: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 orchid fleck virus: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01"/>
    <w:bookmarkStart w:id="105"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2"/>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3"/>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4"/>
                    <a:stretch>
                      <a:fillRect/>
                    </a:stretch>
                  </pic:blipFill>
                  <pic:spPr bwMode="auto">
                    <a:xfrm>
                      <a:off x="0" y="0"/>
                      <a:ext cx="5943600" cy="3962400"/>
                    </a:xfrm>
                    <a:prstGeom prst="rect">
                      <a:avLst/>
                    </a:prstGeom>
                    <a:noFill/>
                    <a:ln w="9525">
                      <a:noFill/>
                      <a:headEnd/>
                      <a:tailEnd/>
                    </a:ln>
                  </pic:spPr>
                </pic:pic>
              </a:graphicData>
            </a:graphic>
          </wp:inline>
        </w:drawing>
      </w:r>
    </w:p>
    <w:bookmarkEnd w:id="105"/>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2021-08-13T18:42:07Z</dcterms:created>
  <dcterms:modified xsi:type="dcterms:W3CDTF">2021-08-13T18:42:07Z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