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5.png" ContentType="image/png"/>
  <Override PartName="/word/media/rId76.png" ContentType="image/png"/>
  <Override PartName="/word/media/rId7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report outbreaks of</w:t>
      </w:r>
      <w:r>
        <w:t xml:space="preserve"> </w:t>
      </w:r>
      <w:r>
        <w:rPr>
          <w:iCs/>
          <w:i/>
        </w:rPr>
        <w:t xml:space="preserve">Orchid fleck dichorhavirus</w:t>
      </w:r>
      <w:r>
        <w:t xml:space="preserve"> </w:t>
      </w:r>
      <w:r>
        <w:t xml:space="preserve">(OFV-Orc) infecting three new hosts:</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and</w:t>
      </w:r>
      <w:r>
        <w:t xml:space="preserve"> </w:t>
      </w:r>
      <w:r>
        <w:rPr>
          <w:iCs/>
          <w:i/>
        </w:rPr>
        <w:t xml:space="preserve">Aspidistra elatior</w:t>
      </w:r>
      <w:r>
        <w:t xml:space="preserve"> </w:t>
      </w:r>
      <w:r>
        <w:t xml:space="preserve">Blume (Asparagaceae: Nolinoidaea) in Leon and Alachua Counties, Florida.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from the genus</w:t>
      </w:r>
      <w:r>
        <w:t xml:space="preserve"> </w:t>
      </w:r>
      <w:r>
        <w:rPr>
          <w:iCs/>
          <w:i/>
        </w:rPr>
        <w:t xml:space="preserve">Brevipalpus</w:t>
      </w:r>
      <w:r>
        <w:t xml:space="preserve"> </w:t>
      </w:r>
      <w:r>
        <w:t xml:space="preserve">(Trombidiformes: Tenuipalpidae). Florida has various native and introduced plants in the landscape which</w:t>
      </w:r>
      <w:r>
        <w:t xml:space="preserve"> </w:t>
      </w:r>
      <w:r>
        <w:rPr>
          <w:iCs/>
          <w:i/>
        </w:rPr>
        <w:t xml:space="preserve">Brevipalpus</w:t>
      </w:r>
      <w:r>
        <w:t xml:space="preserve"> </w:t>
      </w:r>
      <w:r>
        <w:t xml:space="preserve">spp. feed on, which are potentially susceptible to OFV-Orc.</w:t>
      </w:r>
    </w:p>
    <w:p>
      <w:pPr>
        <w:pStyle w:val="BodyText"/>
      </w:pPr>
      <w:r>
        <w:t xml:space="preserve">Chlorotic ringspots flecking were seen affecting Liriopogons (</w:t>
      </w:r>
      <w:r>
        <w:rPr>
          <w:iCs/>
          <w:i/>
        </w:rPr>
        <w:t xml:space="preserve">Liriope</w:t>
      </w:r>
      <w:r>
        <w:t xml:space="preserve"> </w:t>
      </w:r>
      <w:r>
        <w:t xml:space="preserve">spp. 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viruses, so samples were sent to the Florida Department of Agriculture and Consumer Services for identification. Orchid-infecting</w:t>
      </w:r>
      <w:r>
        <w:t xml:space="preserve"> </w:t>
      </w:r>
      <w:r>
        <w:rPr>
          <w:iCs/>
          <w:i/>
        </w:rPr>
        <w:t xml:space="preserve">Orchid fleck dichorhavirus</w:t>
      </w:r>
      <w:r>
        <w:t xml:space="preserve"> </w:t>
      </w:r>
      <w:r>
        <w:t xml:space="preserve">was confirmed via conventional reverse transcription polymerase chain reaction of L-gene (RNA2) and Sanger sequencing of amplicons. Amplicons had a 98% identity with known OFV sequences available in NCBI GenBank.</w:t>
      </w:r>
    </w:p>
    <w:p>
      <w:pPr>
        <w:pStyle w:val="BodyText"/>
      </w:pPr>
      <w:r>
        <w:t xml:space="preserve">New samples from symptomatic plants were collected in both Leon and Alachua counties. High-throughput sequencing (HTS) at the USDA-ARS detected OFV-Orc and OFV-Orc2 in</w:t>
      </w:r>
      <w:r>
        <w:t xml:space="preserve"> </w:t>
      </w:r>
      <w:r>
        <w:rPr>
          <w:iCs/>
          <w:i/>
        </w:rPr>
        <w:t xml:space="preserve">Aspidistra</w:t>
      </w:r>
      <w:r>
        <w:t xml:space="preserve"> </w:t>
      </w:r>
      <w:r>
        <w:t xml:space="preserve">and</w:t>
      </w:r>
      <w:r>
        <w:t xml:space="preserve"> </w:t>
      </w:r>
      <w:r>
        <w:rPr>
          <w:iCs/>
          <w:i/>
        </w:rPr>
        <w:t xml:space="preserve">Liriope</w:t>
      </w:r>
      <w:r>
        <w:t xml:space="preserve">, respectively. 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Our report suggests that</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w:t>
      </w:r>
      <w:r>
        <w:t xml:space="preserve"> </w:t>
      </w:r>
      <w:r>
        <w:rPr>
          <w:iCs/>
          <w:i/>
        </w:rPr>
        <w:t xml:space="preserve">Rhabdoviridae</w:t>
      </w:r>
      <w:r>
        <w:t xml:space="preserve">;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known vectors of dichorhaviruses</w:t>
      </w:r>
      <w:r>
        <w:t xml:space="preserve"> </w:t>
      </w:r>
      <w:r>
        <w:t xml:space="preserve">(Maeda 1998)</w:t>
      </w:r>
      <w:r>
        <w:t xml:space="preserve">.</w:t>
      </w:r>
      <w:r>
        <w:t xml:space="preserve"> </w:t>
      </w:r>
      <w:r>
        <w:rPr>
          <w:iCs/>
          <w:i/>
        </w:rPr>
        <w:t xml:space="preserve">Brevipalpus californicus</w:t>
      </w:r>
      <w:r>
        <w:t xml:space="preserve"> </w:t>
      </w:r>
      <w:r>
        <w:t xml:space="preserve">(Banks) sensu lato mites are the only group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w:t>
      </w:r>
      <w:r>
        <w:t xml:space="preserve">, but symptoms typically appear as chlorotic flecks, which ultimately coalesce into larger spots or ringspot patterns</w:t>
      </w:r>
      <w:r>
        <w:t xml:space="preserve">.</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to some plants belonging to the plant families Chenopodiaceae, Aizoaceae, Fabaceae, and Solanaceae</w:t>
      </w:r>
      <w:r>
        <w:t xml:space="preserve"> </w:t>
      </w:r>
      <w:r>
        <w:t xml:space="preserve">(Chang et al. 1976, Kondo et al. 2003, Peng et al. 2013)</w:t>
      </w:r>
      <w:r>
        <w:t xml:space="preserve">, under laboratory conditions.</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southeastern Asia native liliod plants</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nursery plants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RT-PCR and were found negative for begomovirus, carlavirus, potyvirus, tospovirus, and</w:t>
      </w:r>
      <w:r>
        <w:t xml:space="preserve"> </w:t>
      </w:r>
      <w:r>
        <w:rPr>
          <w:iCs/>
          <w:i/>
        </w:rPr>
        <w:t xml:space="preserve">Cucumber mosaic virus</w:t>
      </w:r>
      <w:r>
        <w:t xml:space="preserve">,</w:t>
      </w:r>
      <w:r>
        <w:t xml:space="preserve"> </w:t>
      </w:r>
      <w:r>
        <w:rPr>
          <w:iCs/>
          <w:i/>
        </w:rPr>
        <w:t xml:space="preserve">Impatiens necrotic spot virus</w:t>
      </w:r>
      <w:r>
        <w:t xml:space="preserve">,</w:t>
      </w:r>
      <w:r>
        <w:t xml:space="preserve"> </w:t>
      </w:r>
      <w:r>
        <w:rPr>
          <w:iCs/>
          <w:i/>
        </w:rPr>
        <w:t xml:space="preserve">Tobacco mosaic virus</w:t>
      </w:r>
      <w:r>
        <w:t xml:space="preserve">, and</w:t>
      </w:r>
      <w:r>
        <w:t xml:space="preserve"> </w:t>
      </w:r>
      <w:r>
        <w:rPr>
          <w:iCs/>
          <w:i/>
        </w:rPr>
        <w:t xml:space="preserve">Tomato spotted wilt virus</w:t>
      </w:r>
      <w:r>
        <w:t xml:space="preserve">.</w:t>
      </w:r>
    </w:p>
    <w:p>
      <w:pPr>
        <w:pStyle w:val="BodyText"/>
      </w:pPr>
      <w:r>
        <w:t xml:space="preserve">The initial site of collection was visited two more times during 2020 to gather plants for identification of the unidentified plant pathogen. These surveys were conducted during July and August to collect more putatively infected plants, including more</w:t>
      </w:r>
      <w:r>
        <w:t xml:space="preserve"> </w:t>
      </w:r>
      <w:r>
        <w:rPr>
          <w:iCs/>
          <w:i/>
        </w:rPr>
        <w:t xml:space="preserve">Liriope</w:t>
      </w:r>
      <w:r>
        <w:t xml:space="preserve"> </w:t>
      </w:r>
      <w:r>
        <w:t xml:space="preserve">spp. as well as a new species which also belongs to the family Asparagaceae;</w:t>
      </w:r>
      <w:r>
        <w:t xml:space="preserve"> </w:t>
      </w:r>
      <w:r>
        <w:rPr>
          <w:iCs/>
          <w:i/>
        </w:rPr>
        <w:t xml:space="preserve">Aspidistra elatior</w:t>
      </w:r>
      <w:r>
        <w:t xml:space="preserve"> </w:t>
      </w:r>
      <w:r>
        <w:t xml:space="preserve">Blume, which was suspected to be infected due to unusually chlorotic leaves (Fig. 2). Upon collection, these new samples were sent to the Florida Department of Agriculture and Consumer Services (FDACS) for identification.</w:t>
      </w:r>
    </w:p>
    <w:p>
      <w:pPr>
        <w:pStyle w:val="BodyText"/>
      </w:pPr>
      <w:r>
        <w:t xml:space="preserve">The presence of OFV was confirmed using OFV generic R2-Dicho-GF and R2-Dicho-GR primers by one step conventional RT-PCR</w:t>
      </w:r>
      <w:r>
        <w:t xml:space="preserve"> </w:t>
      </w:r>
      <w:r>
        <w:t xml:space="preserve">(Roy et al. 2020)</w:t>
      </w:r>
      <w:r>
        <w:t xml:space="preserve">,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w:t>
      </w:r>
    </w:p>
    <w:p>
      <w:pPr>
        <w:pStyle w:val="BodyText"/>
      </w:pPr>
      <w:r>
        <w:t xml:space="preserve">Subsequent surveys of plants belonging to the subfamily Nolinoidaea in Florida have revealed more sites with Asparagaceae putatively infected with OFV in Leon and Alachua counties (Table 1). Mites were collected from symptomatic plants in Leon county and observed with phase contrast microscopy. Tenuipalpid mites (flat mites or false spider mites) were commonly found in abundance on the Asparagaceae, which tested positive for OFV. These flat mites were initially identified as</w:t>
      </w:r>
      <w:r>
        <w:t xml:space="preserve"> </w:t>
      </w:r>
      <w:r>
        <w:rPr>
          <w:iCs/>
          <w:i/>
        </w:rPr>
        <w:t xml:space="preserve">B. californicus</w:t>
      </w:r>
      <w:r>
        <w:t xml:space="preserve"> </w:t>
      </w:r>
      <w:r>
        <w:t xml:space="preserve">s. l. and later confirmed by the FDACS via Differential Interference Contrast (DIC) microscopy. The</w:t>
      </w:r>
      <w:r>
        <w:t xml:space="preserve"> </w:t>
      </w:r>
      <w:r>
        <w:rPr>
          <w:iCs/>
          <w:i/>
        </w:rPr>
        <w:t xml:space="preserve">B. californicus</w:t>
      </w:r>
      <w:r>
        <w:t xml:space="preserve"> </w:t>
      </w:r>
      <w:r>
        <w:t xml:space="preserve">s. 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as seen in other</w:t>
      </w:r>
      <w:r>
        <w:t xml:space="preserve"> </w:t>
      </w:r>
      <w:r>
        <w:rPr>
          <w:iCs/>
          <w:i/>
        </w:rPr>
        <w:t xml:space="preserve">Brevipalpus</w:t>
      </w:r>
      <w:r>
        <w:t xml:space="preserve"> </w:t>
      </w:r>
      <w:r>
        <w:t xml:space="preserve">species, such as</w:t>
      </w:r>
      <w:r>
        <w:t xml:space="preserve"> </w:t>
      </w:r>
      <w:r>
        <w:rPr>
          <w:iCs/>
          <w:i/>
        </w:rPr>
        <w:t xml:space="preserve">B. phoenicis</w:t>
      </w:r>
      <w:r>
        <w:t xml:space="preserve"> </w:t>
      </w:r>
      <w:r>
        <w:t xml:space="preserve">(Geijskes)</w:t>
      </w:r>
      <w:r>
        <w:t xml:space="preserve"> </w:t>
      </w:r>
      <w:r>
        <w:t xml:space="preserve">(Beard et al. 2015)</w:t>
      </w:r>
      <w:r>
        <w:t xml:space="preserve">.</w:t>
      </w:r>
    </w:p>
    <w:p>
      <w:pPr>
        <w:pStyle w:val="BodyText"/>
      </w:pPr>
      <w:r>
        <w:t xml:space="preserve">New mite samples were collected from the site where OFV was first confirmed and sent to USDA-ARS’s Electron and Confocal Microscopy Unit for analysis. Three mite species were recovered and examined under cryo 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Baker and</w:t>
      </w:r>
      <w:r>
        <w:t xml:space="preserve"> </w:t>
      </w:r>
      <w:r>
        <w:rPr>
          <w:iCs/>
          <w:i/>
        </w:rPr>
        <w:t xml:space="preserve">B. confusus</w:t>
      </w:r>
      <w:r>
        <w:t xml:space="preserve"> </w:t>
      </w:r>
      <w:r>
        <w:t xml:space="preserve">Donnadieu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(Blanchfield et al. 2001)</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w:t>
      </w:r>
      <w:r>
        <w:t xml:space="preserve">but not in the US.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Although</w:t>
      </w:r>
      <w:r>
        <w:t xml:space="preserve"> </w:t>
      </w:r>
      <w:r>
        <w:t xml:space="preserve">Zheng et al. (2013)</w:t>
      </w:r>
      <w:r>
        <w:t xml:space="preserve"> </w:t>
      </w:r>
      <w:r>
        <w:t xml:space="preserve">mention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but never reported OFV symptoms in this plant. However, our finding will be notified as the first report of OFV in Florida, in the US on ornamentals and among them,</w:t>
      </w:r>
      <w:r>
        <w:t xml:space="preserve"> </w:t>
      </w:r>
      <w:r>
        <w:rPr>
          <w:iCs/>
          <w:i/>
        </w:rPr>
        <w:t xml:space="preserve">A. elatior</w:t>
      </w:r>
      <w:r>
        <w:t xml:space="preserve"> </w:t>
      </w:r>
      <w:r>
        <w:t xml:space="preserve">is a new natural host of OFV.</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(Hartung et al. 2015, Roy et al. 2020)</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 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71" w:name="references"/>
    <w:p>
      <w:pPr>
        <w:pStyle w:val="Heading3"/>
      </w:pPr>
      <w:r>
        <w:t xml:space="preserve">References</w:t>
      </w:r>
    </w:p>
    <w:bookmarkStart w:id="70"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w:t>
      </w:r>
      <w:r>
        <w:t xml:space="preserve"> </w:t>
      </w:r>
      <w:r>
        <w:t xml:space="preserve">Orchid fleck virus</w:t>
      </w:r>
      <w:r>
        <w:t xml:space="preserve"> </w:t>
      </w:r>
      <w:r>
        <w:t xml:space="preserve">by reverse transcriptase-polymerase chain reaction and analysis of isolate relationships. Journal of Phytopathology. 149: 713–718.</w:t>
      </w:r>
    </w:p>
    <w:bookmarkEnd w:id="32"/>
    <w:bookmarkStart w:id="33"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3"/>
    <w:bookmarkStart w:id="34"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4"/>
    <w:bookmarkStart w:id="35"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5"/>
    <w:bookmarkStart w:id="36"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6"/>
    <w:bookmarkStart w:id="37"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7"/>
    <w:bookmarkStart w:id="38"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8"/>
    <w:bookmarkStart w:id="39"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9"/>
    <w:bookmarkStart w:id="40"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0"/>
    <w:bookmarkStart w:id="41"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1"/>
    <w:bookmarkStart w:id="42"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2"/>
    <w:bookmarkStart w:id="4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3"/>
    <w:bookmarkStart w:id="4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4"/>
    <w:bookmarkStart w:id="45"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5"/>
    <w:bookmarkStart w:id="46"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6"/>
    <w:bookmarkStart w:id="47"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7"/>
    <w:bookmarkStart w:id="48"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8"/>
    <w:bookmarkStart w:id="4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49"/>
    <w:bookmarkStart w:id="5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0"/>
    <w:bookmarkStart w:id="51"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1"/>
    <w:bookmarkStart w:id="52"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2"/>
    <w:bookmarkStart w:id="53"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3"/>
    <w:bookmarkStart w:id="54"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4"/>
    <w:bookmarkStart w:id="55"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55"/>
    <w:bookmarkStart w:id="5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56"/>
    <w:bookmarkStart w:id="57"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57"/>
    <w:bookmarkStart w:id="58"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58"/>
    <w:bookmarkStart w:id="59"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59"/>
    <w:bookmarkStart w:id="60"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0"/>
    <w:bookmarkStart w:id="61"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w:t>
      </w:r>
      <w:r>
        <w:t xml:space="preserve"> </w:t>
      </w:r>
      <w:r>
        <w:t xml:space="preserve">Ti ringspot-associated</w:t>
      </w:r>
      <w:r>
        <w:t xml:space="preserve"> </w:t>
      </w:r>
      <w:r>
        <w:t xml:space="preserve">virus, a novel emaravirus associated with an emerging ringspot disease of</w:t>
      </w:r>
      <w:r>
        <w:t xml:space="preserve"> </w:t>
      </w:r>
      <w:r>
        <w:rPr>
          <w:iCs/>
          <w:i/>
        </w:rPr>
        <w:t xml:space="preserve">Cordyline fruticosa</w:t>
      </w:r>
      <w:r>
        <w:t xml:space="preserve">. Plant Disease. 103: 2345–2352.</w:t>
      </w:r>
    </w:p>
    <w:bookmarkEnd w:id="61"/>
    <w:bookmarkStart w:id="62"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2"/>
    <w:bookmarkStart w:id="63"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63"/>
    <w:bookmarkStart w:id="64"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64"/>
    <w:bookmarkStart w:id="65"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65"/>
    <w:bookmarkStart w:id="66"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66"/>
    <w:bookmarkStart w:id="67"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67"/>
    <w:bookmarkStart w:id="68"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68"/>
    <w:bookmarkStart w:id="69"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9"/>
    <w:bookmarkEnd w:id="70"/>
    <w:bookmarkEnd w:id="71"/>
    <w:bookmarkStart w:id="72" w:name="X07ae460ea85d4ba040dcaa5f1b0b7fd416f89f1"/>
    <w:p>
      <w:pPr>
        <w:pStyle w:val="Heading3"/>
      </w:pPr>
      <w:r>
        <w:t xml:space="preserve">Table 1: List of Asparagaceae (Nolinoidaea) species with verified cases of</w:t>
      </w:r>
      <w:r>
        <w:t xml:space="preserve"> </w:t>
      </w:r>
      <w:r>
        <w:rPr>
          <w:iCs/>
          <w:i/>
        </w:rPr>
        <w:t xml:space="preserve">Orchid fleck dichorhavirus</w:t>
      </w:r>
      <w:r>
        <w:t xml:space="preserve">, along with basic descriptions of foliar symptoms seen in the landscape of northern Florida</w:t>
      </w:r>
    </w:p>
    <w:tbl>
      <w:tblPr>
        <w:tblStyle w:val="Table"/>
        <w:tblW w:type="pct" w:w="5000"/>
        <w:tblLook w:firstRow="1" w:lastRow="0" w:firstColumn="0" w:lastColumn="0" w:noHBand="0" w:noVBand="0" w:val="0020"/>
      </w:tblPr>
      <w:tblGrid>
        <w:gridCol w:w="1900"/>
        <w:gridCol w:w="2376"/>
        <w:gridCol w:w="2692"/>
        <w:gridCol w:w="95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c>
          <w:p>
            <w:pPr>
              <w:pStyle w:val="Compact"/>
              <w:jc w:val="left"/>
            </w:pPr>
            <w:r>
              <w:t xml:space="preserve">County</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c>
          <w:p>
            <w:pPr>
              <w:pStyle w:val="Compact"/>
              <w:jc w:val="left"/>
            </w:pPr>
            <w:r>
              <w:t xml:space="preserve">Leon</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c>
          <w:p>
            <w:pPr>
              <w:pStyle w:val="Compact"/>
              <w:jc w:val="left"/>
            </w:pPr>
            <w:r>
              <w:t xml:space="preserve">Alachua &amp; Leon</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c>
          <w:p>
            <w:pPr>
              <w:pStyle w:val="Compact"/>
              <w:jc w:val="left"/>
            </w:pPr>
            <w:r>
              <w:t xml:space="preserve">Leon</w:t>
            </w:r>
          </w:p>
        </w:tc>
      </w:tr>
    </w:tbl>
    <w:p>
      <w:pPr>
        <w:pStyle w:val="BodyText"/>
      </w:pPr>
      <w:r>
        <w:t xml:space="preserve">Table 1: *</w:t>
      </w:r>
      <w:r>
        <w:t xml:space="preserve"> </w:t>
      </w:r>
      <w:r>
        <w:rPr>
          <w:iCs/>
          <w:i/>
        </w:rPr>
        <w:t xml:space="preserve">L. gigantea</w:t>
      </w:r>
      <w:r>
        <w:t xml:space="preserve"> </w:t>
      </w:r>
      <w:r>
        <w:t xml:space="preserve">has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72"/>
    <w:bookmarkStart w:id="73"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73"/>
    <w:bookmarkStart w:id="78"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7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7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7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77"/>
                    <a:stretch>
                      <a:fillRect/>
                    </a:stretch>
                  </pic:blipFill>
                  <pic:spPr bwMode="auto">
                    <a:xfrm>
                      <a:off x="0" y="0"/>
                      <a:ext cx="5943600" cy="3962400"/>
                    </a:xfrm>
                    <a:prstGeom prst="rect">
                      <a:avLst/>
                    </a:prstGeom>
                    <a:noFill/>
                    <a:ln w="9525">
                      <a:noFill/>
                      <a:headEnd/>
                      <a:tailEnd/>
                    </a:ln>
                  </pic:spPr>
                </pic:pic>
              </a:graphicData>
            </a:graphic>
          </wp:inline>
        </w:drawing>
      </w:r>
    </w:p>
    <w:bookmarkEnd w:id="78"/>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hyperlink" Id="rId28" Target="http://idtools.org/id/mites/flatmites/" TargetMode="External" /></Relationships>
</file>

<file path=word/_rels/footnotes.xml.rels><?xml version="1.0" encoding="UTF-8"?><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2021-05-20T21:49:04Z</dcterms:created>
  <dcterms:modified xsi:type="dcterms:W3CDTF">2021-05-20T21:49:04Z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