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79.png" ContentType="image/png"/>
  <Override PartName="/word/media/rId80.png" ContentType="image/png"/>
  <Override PartName="/word/media/rId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was seen affecting Liriopogons (</w:t>
      </w:r>
      <w:r>
        <w:rPr>
          <w:iCs/>
          <w:i/>
        </w:rPr>
        <w:t xml:space="preserve">Liriope</w:t>
      </w:r>
      <w:r>
        <w:t xml:space="preserve"> </w:t>
      </w:r>
      <w:r>
        <w:t xml:space="preserve">spp. 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w:t>
      </w:r>
      <w:r>
        <w:t xml:space="preserve"> </w:t>
      </w:r>
      <w:r>
        <w:rPr>
          <w:iCs/>
          <w:i/>
        </w:rPr>
        <w:t xml:space="preserve">Rhabdoviridae</w:t>
      </w:r>
      <w:r>
        <w:t xml:space="preserv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known vectors of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larger spots or ringspot patterns</w:t>
      </w:r>
      <w:r>
        <w:t xml:space="preserve"> </w:t>
      </w:r>
      <w:r>
        <w:t xml:space="preserve">.</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both its proximity to infected</w:t>
      </w:r>
      <w:r>
        <w:t xml:space="preserve"> </w:t>
      </w:r>
      <w:r>
        <w:rPr>
          <w:iCs/>
          <w:i/>
        </w:rPr>
        <w:t xml:space="preserve">Liriope</w:t>
      </w:r>
      <w:r>
        <w:t xml:space="preserve"> </w:t>
      </w:r>
      <w:r>
        <w:t xml:space="preserve">and its unusually chlorotic leaves (Fig. 2). Upon collection, these new samples were sent to the Florida Department of Agriculture and Consumer Services (FDACS) for identification.</w:t>
      </w:r>
      <w:r>
        <w:t xml:space="preserve"> </w:t>
      </w:r>
      <w:r>
        <w:t xml:space="preserve">The FDACS determined that the virus was</w:t>
      </w:r>
      <w:r>
        <w:t xml:space="preserve"> </w:t>
      </w:r>
      <w:r>
        <w:rPr>
          <w:iCs/>
          <w:i/>
        </w:rPr>
        <w:t xml:space="preserve">Orchid fleck dichorhavirus</w:t>
      </w:r>
      <w:r>
        <w:t xml:space="preserve"> </w:t>
      </w:r>
      <w:r>
        <w:t xml:space="preserve">using previously published primers and methods</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w:t>
      </w:r>
    </w:p>
    <w:p>
      <w:pPr>
        <w:pStyle w:val="BodyText"/>
      </w:pPr>
      <w:r>
        <w:t xml:space="preserve">Samples sent to the USDA confirmed the presence of OFV via one step conventional RT-PCR and RT-qPCR, using generic R2-Dicho-GF and R2-Dicho-GR primers, amplifying ~800 nt of L-gene (RNA2) amplicon</w:t>
      </w:r>
      <w:r>
        <w:t xml:space="preserve"> </w:t>
      </w:r>
      <w:r>
        <w:t xml:space="preserve">(Roy et al. 2020)</w:t>
      </w:r>
      <w:r>
        <w:t xml:space="preserve">. Sanger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 These methods detected OFV-Orc1 and OFV-Orc2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 High Throughput Sequencing (HTS)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Mites were collected from symptomatic plants in Leon county and observed with phase contrast microscopy. Tenuipalpid mites (flat mites or false spider mites) were commonly found in abundance on the Asparagaceae, which tested positive for OFV. These flat mites were initially identified as</w:t>
      </w:r>
      <w:r>
        <w:t xml:space="preserve"> </w:t>
      </w:r>
      <w:r>
        <w:rPr>
          <w:iCs/>
          <w:i/>
        </w:rPr>
        <w:t xml:space="preserve">B. californicus</w:t>
      </w:r>
      <w:r>
        <w:t xml:space="preserve"> </w:t>
      </w:r>
      <w:r>
        <w:t xml:space="preserve">s. l. and later confirmed by the FDACS via Differential Interference Contrast (DIC) microscopy. The</w:t>
      </w:r>
      <w:r>
        <w:t xml:space="preserve"> </w:t>
      </w:r>
      <w:r>
        <w:rPr>
          <w:iCs/>
          <w:i/>
        </w:rPr>
        <w:t xml:space="preserve">B. californicus</w:t>
      </w:r>
      <w:r>
        <w:t xml:space="preserve"> </w:t>
      </w:r>
      <w:r>
        <w:t xml:space="preserve">s. 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as seen in other</w:t>
      </w:r>
      <w:r>
        <w:t xml:space="preserve"> </w:t>
      </w:r>
      <w:r>
        <w:rPr>
          <w:iCs/>
          <w:i/>
        </w:rPr>
        <w:t xml:space="preserve">Brevipalpus</w:t>
      </w:r>
      <w:r>
        <w:t xml:space="preserve"> </w:t>
      </w:r>
      <w:r>
        <w:t xml:space="preserve">species, such as</w:t>
      </w:r>
      <w:r>
        <w:t xml:space="preserve"> </w:t>
      </w:r>
      <w:r>
        <w:rPr>
          <w:iCs/>
          <w:i/>
        </w:rPr>
        <w:t xml:space="preserve">B. phoenicis</w:t>
      </w:r>
      <w:r>
        <w:t xml:space="preserve"> </w:t>
      </w:r>
      <w:r>
        <w:t xml:space="preserve">(Geijskes)</w:t>
      </w:r>
      <w:r>
        <w:t xml:space="preserve"> </w:t>
      </w:r>
      <w:r>
        <w:t xml:space="preserve">(Beard et al. 2015)</w:t>
      </w:r>
      <w:r>
        <w:t xml:space="preserve">.</w:t>
      </w:r>
    </w:p>
    <w:p>
      <w:pPr>
        <w:pStyle w:val="BodyText"/>
      </w:pPr>
      <w:r>
        <w:t xml:space="preserve">New mite samples were collected from the site where OFV was first confirmed and sent to USDA-ARS’s Electron and Confocal Microscopy Unit for analysis. Three mite species were recovered and examined under cryo 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Baker and</w:t>
      </w:r>
      <w:r>
        <w:t xml:space="preserve"> </w:t>
      </w:r>
      <w:r>
        <w:rPr>
          <w:iCs/>
          <w:i/>
        </w:rPr>
        <w:t xml:space="preserve">B. confusus</w:t>
      </w:r>
      <w:r>
        <w:t xml:space="preserve"> </w:t>
      </w:r>
      <w:r>
        <w:t xml:space="preserve">Donnadieu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is considered a synonym of</w:t>
      </w:r>
      <w:r>
        <w:t xml:space="preserve"> </w:t>
      </w:r>
      <w:r>
        <w:rPr>
          <w:iCs/>
          <w:i/>
        </w:rPr>
        <w:t xml:space="preserve">Liriope muscari</w:t>
      </w:r>
      <w:r>
        <w:t xml:space="preserve"> </w:t>
      </w:r>
      <w:r>
        <w:t xml:space="preserve">(Wang et al. 2014, Masiero et al. 2020)</w:t>
      </w:r>
      <w:r>
        <w:t xml:space="preserve">, but some consider it a separate species:</w:t>
      </w:r>
      <w:r>
        <w:t xml:space="preserve"> </w:t>
      </w:r>
      <w:r>
        <w:rPr>
          <w:iCs/>
          <w:i/>
        </w:rPr>
        <w:t xml:space="preserve">Liriope gigantea</w:t>
      </w:r>
      <w:r>
        <w:t xml:space="preserve"> </w:t>
      </w:r>
      <w:r>
        <w:t xml:space="preserve">Hume</w:t>
      </w:r>
      <w:r>
        <w:t xml:space="preserve"> </w:t>
      </w:r>
      <w:r>
        <w:t xml:space="preserve">(Fantz et al. 2015)</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but never reported OFV symptoms in this plant. However, our finding will be notified as the first report of OFV in Florida,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these strains of OFV in Florida to monitor their spread, and to determine the risk they represent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5" w:name="references"/>
    <w:p>
      <w:pPr>
        <w:pStyle w:val="Heading3"/>
      </w:pPr>
      <w:r>
        <w:t xml:space="preserve">References</w:t>
      </w:r>
    </w:p>
    <w:bookmarkStart w:id="74"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w:t>
      </w:r>
      <w:r>
        <w:t xml:space="preserve"> </w:t>
      </w:r>
      <w:r>
        <w:t xml:space="preserve">Orchid fleck virus</w:t>
      </w:r>
      <w:r>
        <w:t xml:space="preserve"> </w:t>
      </w:r>
      <w:r>
        <w:t xml:space="preserve">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1"/>
    <w:bookmarkStart w:id="52"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2"/>
    <w:bookmarkStart w:id="53"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3"/>
    <w:bookmarkStart w:id="54"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4"/>
    <w:bookmarkStart w:id="55"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55"/>
    <w:bookmarkStart w:id="56"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56"/>
    <w:bookmarkStart w:id="57"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7"/>
    <w:bookmarkStart w:id="58"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58"/>
    <w:bookmarkStart w:id="59"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9"/>
    <w:bookmarkStart w:id="6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0"/>
    <w:bookmarkStart w:id="61"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1"/>
    <w:bookmarkStart w:id="62"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2"/>
    <w:bookmarkStart w:id="63"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3"/>
    <w:bookmarkStart w:id="64"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w:t>
      </w:r>
      <w:r>
        <w:t xml:space="preserve"> </w:t>
      </w:r>
      <w:r>
        <w:t xml:space="preserve">Ti ringspot-associated</w:t>
      </w:r>
      <w:r>
        <w:t xml:space="preserve"> </w:t>
      </w:r>
      <w:r>
        <w:t xml:space="preserve">virus, a novel emaravirus associated with an emerging ringspot disease of</w:t>
      </w:r>
      <w:r>
        <w:t xml:space="preserve"> </w:t>
      </w:r>
      <w:r>
        <w:rPr>
          <w:iCs/>
          <w:i/>
        </w:rPr>
        <w:t xml:space="preserve">Cordyline fruticosa</w:t>
      </w:r>
      <w:r>
        <w:t xml:space="preserve">. Plant Disease. 103: 2345–2352.</w:t>
      </w:r>
    </w:p>
    <w:bookmarkEnd w:id="64"/>
    <w:bookmarkStart w:id="65"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5"/>
    <w:bookmarkStart w:id="66"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66"/>
    <w:bookmarkStart w:id="67"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67"/>
    <w:bookmarkStart w:id="68"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8"/>
    <w:bookmarkStart w:id="69"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69"/>
    <w:bookmarkStart w:id="70"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0"/>
    <w:bookmarkStart w:id="71"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71"/>
    <w:bookmarkStart w:id="72"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2"/>
    <w:bookmarkStart w:id="73"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3"/>
    <w:bookmarkEnd w:id="74"/>
    <w:bookmarkEnd w:id="75"/>
    <w:bookmarkStart w:id="76"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6"/>
    <w:bookmarkStart w:id="77"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7"/>
    <w:bookmarkStart w:id="82"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8"/>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9"/>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80"/>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81"/>
                    <a:stretch>
                      <a:fillRect/>
                    </a:stretch>
                  </pic:blipFill>
                  <pic:spPr bwMode="auto">
                    <a:xfrm>
                      <a:off x="0" y="0"/>
                      <a:ext cx="5943600" cy="3962400"/>
                    </a:xfrm>
                    <a:prstGeom prst="rect">
                      <a:avLst/>
                    </a:prstGeom>
                    <a:noFill/>
                    <a:ln w="9525">
                      <a:noFill/>
                      <a:headEnd/>
                      <a:tailEnd/>
                    </a:ln>
                  </pic:spPr>
                </pic:pic>
              </a:graphicData>
            </a:graphic>
          </wp:inline>
        </w:drawing>
      </w:r>
    </w:p>
    <w:bookmarkEnd w:id="82"/>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2021-05-27T03:50:18Z</dcterms:created>
  <dcterms:modified xsi:type="dcterms:W3CDTF">2021-05-27T03:50:18Z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