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96f1140e9b359d470eff433dccb2e2b5dfe293"/>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the United States</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the summer of 2020, chlorotic ringspot symptoms were seen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Asparagaceae: Nolinoidaea) and leaf chlorosis was observed on leaves of</w:t>
      </w:r>
      <w:r>
        <w:t xml:space="preserve"> </w:t>
      </w:r>
      <w:r>
        <w:rPr>
          <w:iCs/>
          <w:i/>
        </w:rPr>
        <w:t xml:space="preserve">Aspidistra elatior</w:t>
      </w:r>
      <w:r>
        <w:t xml:space="preserve"> </w:t>
      </w:r>
      <w:r>
        <w:t xml:space="preserve">Blume (Asparagaceae: Nolinoidaea) in a landscape in Leon County, Florida. In both cases, the presence of OFV was confirmed using OFV specific conventional reverse transcription polymerase chain assay (RT-PCR) assay and Sanger sequencing. RT-PCR amplicons had a 98% identity with the known OFV sequences available in the GenBank (Accession numbers: AB244418 and LC222630). The identification was also confirmed with the quantitative RT-PCR (RT-qPCR). Additional leaf samples were collected from other Nolinoidaea, including Aztec Grass (</w:t>
      </w:r>
      <w:r>
        <w:rPr>
          <w:iCs/>
          <w:i/>
        </w:rPr>
        <w:t xml:space="preserve">Ophiopogon intermedius</w:t>
      </w:r>
      <w:r>
        <w:t xml:space="preserve"> </w:t>
      </w:r>
      <w:r>
        <w:t xml:space="preserve">cv.</w:t>
      </w:r>
      <w:r>
        <w:t xml:space="preserve"> </w:t>
      </w:r>
      <w:r>
        <w:t xml:space="preserve">‘</w:t>
      </w:r>
      <w:r>
        <w:t xml:space="preserve">Argenteomarginatus</w:t>
      </w:r>
      <w:r>
        <w:t xml:space="preserve">’</w:t>
      </w:r>
      <w:r>
        <w:t xml:space="preserve"> </w:t>
      </w:r>
      <w:r>
        <w:t xml:space="preserve">D. Don, Asparagaceae: Nolinoidaea), Mondo Grass</w:t>
      </w:r>
      <w:r>
        <w:t xml:space="preserve"> </w:t>
      </w:r>
      <w:r>
        <w:rPr>
          <w:iCs/>
          <w:i/>
        </w:rPr>
        <w:t xml:space="preserve">O. japonicus</w:t>
      </w:r>
      <w:r>
        <w:t xml:space="preserve"> </w:t>
      </w:r>
      <w:r>
        <w:t xml:space="preserve">and Lilyturf</w:t>
      </w:r>
      <w:r>
        <w:t xml:space="preserve"> </w:t>
      </w:r>
      <w:r>
        <w:rPr>
          <w:iCs/>
          <w:i/>
        </w:rPr>
        <w:t xml:space="preserve">L. muscari</w:t>
      </w:r>
      <w:r>
        <w:t xml:space="preserve">, with ringspot symptoms were observed in Leon and Alachua counties. Identification of partial genome sequence confirmed the presence of both the orchid strains (OFV-Orc1 and OFV-Orc2) in Florida. Three mite species were identified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At least one of these species is presumably responsible for OFV transmission. Florida has various</w:t>
      </w:r>
      <w:r>
        <w:t xml:space="preserve"> </w:t>
      </w:r>
      <w:r>
        <w:rPr>
          <w:iCs/>
          <w:i/>
        </w:rPr>
        <w:t xml:space="preserve">Brevipalpus</w:t>
      </w:r>
      <w:r>
        <w:t xml:space="preserve">susceptible native and introduced plant species in the landscape. In this study we are reporting three new hosts from the family Asperagaceae from multiple locations. Our data suggested that the OFV is widely distributed in Florida and might be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the southeastern United States, if not controlled. As both the orchid strains of OFV are known to infect citrus and cause citrus leprosis disease, a survey in citrus growing regions of Florida is essential, emphasizing plants within the families Orchidaceae,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Donnadieu (Trombidiformes: Tenuipalpidae) are the sole vectors for cileviruses and dichorhaviruses</w:t>
      </w:r>
      <w:r>
        <w:t xml:space="preserve"> </w:t>
      </w:r>
      <w:r>
        <w:t xml:space="preserve">(Maeda 1998)</w:t>
      </w:r>
      <w:r>
        <w:t xml:space="preserve">, and</w:t>
      </w:r>
      <w:r>
        <w:t xml:space="preserve"> </w:t>
      </w:r>
      <w:r>
        <w:rPr>
          <w:iCs/>
          <w:i/>
        </w:rPr>
        <w:t xml:space="preserve">B. californicus</w:t>
      </w:r>
      <w:r>
        <w:t xml:space="preserve"> </w:t>
      </w:r>
      <w:r>
        <w:t xml:space="preserve">(Banks) group of mites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 (Fig. 1, Fig. 2).</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as well as for Cucumber mosaic virus, Impatiens necrotic spot virus, Tobacco mosaic virus and Tomato spotted wilt virus.</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Fig. 3). Mites were collected from symptomatic plants in Leon county and observed with phase contrast microscopy. Tenuipalpid mites (flat mites or false spider mites) were commonly found in abundance on the Asparagaceae which tested positive for OFV. These flat mites were originally identified as</w:t>
      </w:r>
      <w:r>
        <w:t xml:space="preserve"> </w:t>
      </w:r>
      <w:r>
        <w:rPr>
          <w:iCs/>
          <w:i/>
        </w:rPr>
        <w:t xml:space="preserve">Brevipalpus californicus</w:t>
      </w:r>
      <w:r>
        <w:t xml:space="preserve"> </w:t>
      </w:r>
      <w:r>
        <w:t xml:space="preserve">(Banks) sensu lato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were collected from the original OFV detection site, and examined under Cryo-SEM (Fig. 4). The determinations approved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5).</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but they did not mention the presence of OFV symptoms in this plant. However, our finding will be notified as the first report of OFV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5).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3" w:name="references"/>
    <w:p>
      <w:pPr>
        <w:pStyle w:val="Heading3"/>
      </w:pPr>
      <w:r>
        <w:t xml:space="preserve">References</w:t>
      </w:r>
    </w:p>
    <w:bookmarkStart w:id="7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8"/>
    <w:bookmarkStart w:id="49"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1"/>
    <w:bookmarkStart w:id="5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2"/>
    <w:bookmarkStart w:id="5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3"/>
    <w:bookmarkStart w:id="54"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4"/>
    <w:bookmarkStart w:id="55"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5"/>
    <w:bookmarkStart w:id="56"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6"/>
    <w:bookmarkStart w:id="57"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7"/>
    <w:bookmarkStart w:id="58"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8"/>
    <w:bookmarkStart w:id="59"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9"/>
    <w:bookmarkStart w:id="60"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0"/>
    <w:bookmarkStart w:id="61"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1"/>
    <w:bookmarkStart w:id="62"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2"/>
    <w:bookmarkStart w:id="63"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63"/>
    <w:bookmarkStart w:id="64"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64"/>
    <w:bookmarkStart w:id="6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65"/>
    <w:bookmarkStart w:id="6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66"/>
    <w:bookmarkStart w:id="67"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67"/>
    <w:bookmarkStart w:id="68"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8"/>
    <w:bookmarkStart w:id="69"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69"/>
    <w:bookmarkStart w:id="7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70"/>
    <w:bookmarkStart w:id="7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71"/>
    <w:bookmarkEnd w:id="72"/>
    <w:bookmarkEnd w:id="73"/>
    <w:bookmarkStart w:id="74" w:name="table"/>
    <w:p>
      <w:pPr>
        <w:pStyle w:val="Heading3"/>
      </w:pPr>
      <w:r>
        <w:t xml:space="preserve">Table</w:t>
      </w:r>
    </w:p>
    <w:tbl>
      <w:tblPr>
        <w:tblStyle w:val="Table"/>
        <w:tblW w:type="pct" w:w="4999.999999999999"/>
        <w:tblLook w:firstRow="1" w:lastRow="0" w:firstColumn="0" w:lastColumn="0" w:noHBand="0" w:noVBand="0" w:val="0020"/>
      </w:tblPr>
      <w:tblGrid>
        <w:gridCol w:w="2160"/>
        <w:gridCol w:w="2700"/>
        <w:gridCol w:w="306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4"/>
    <w:bookmarkStart w:id="7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ringspots</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ringspots may indicate early symptoms of OFV</w:t>
      </w:r>
    </w:p>
    <w:p>
      <w:pPr>
        <w:pStyle w:val="BodyText"/>
      </w:pPr>
      <w:r>
        <w:t xml:space="preserve">Fig. 3: Map of OFV cases in Florida</w:t>
      </w:r>
    </w:p>
    <w:p>
      <w:pPr>
        <w:pStyle w:val="BodyText"/>
      </w:pPr>
      <w:r>
        <w:t xml:space="preserve">Fig. 4: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5: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5"/>
    <w:bookmarkStart w:id="81"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5-1.png" id="0" name="Picture"/>
                    <pic:cNvPicPr>
                      <a:picLocks noChangeArrowheads="1" noChangeAspect="1"/>
                    </pic:cNvPicPr>
                  </pic:nvPicPr>
                  <pic:blipFill>
                    <a:blip r:embed="rId80"/>
                    <a:stretch>
                      <a:fillRect/>
                    </a:stretch>
                  </pic:blipFill>
                  <pic:spPr bwMode="auto">
                    <a:xfrm>
                      <a:off x="0" y="0"/>
                      <a:ext cx="5943600" cy="3962400"/>
                    </a:xfrm>
                    <a:prstGeom prst="rect">
                      <a:avLst/>
                    </a:prstGeom>
                    <a:noFill/>
                    <a:ln w="9525">
                      <a:noFill/>
                      <a:headEnd/>
                      <a:tailEnd/>
                    </a:ln>
                  </pic:spPr>
                </pic:pic>
              </a:graphicData>
            </a:graphic>
          </wp:inline>
        </w:drawing>
      </w:r>
    </w:p>
    <w:bookmarkEnd w:id="81"/>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2021-04-08T17:52:53Z</dcterms:created>
  <dcterms:modified xsi:type="dcterms:W3CDTF">2021-04-08T17:52:53Z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