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89.png" ContentType="image/png"/>
  <Override PartName="/word/media/rId9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were observed in a landscape in Leon County, Florida. Later in the year,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Liriope muscari</w:t>
      </w:r>
      <w:r>
        <w:t xml:space="preserve">,</w:t>
      </w:r>
      <w:r>
        <w:t xml:space="preserve"> </w:t>
      </w:r>
      <w:r>
        <w:rPr>
          <w:iCs/>
          <w:i/>
        </w:rPr>
        <w:t xml:space="preserve">Ophiopogon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Florida .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1). No ringspots have been observed on</w:t>
      </w:r>
      <w:r>
        <w:t xml:space="preserve"> </w:t>
      </w:r>
      <w:r>
        <w:rPr>
          <w:iCs/>
          <w:i/>
        </w:rPr>
        <w:t xml:space="preserve">A. elatior</w:t>
      </w:r>
      <w:r>
        <w:t xml:space="preserve"> </w:t>
      </w:r>
      <w:r>
        <w:t xml:space="preserve">to date. All plant 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2).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3).</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in the US was made by</w:t>
      </w:r>
      <w:r>
        <w:t xml:space="preserve"> </w:t>
      </w:r>
      <w:r>
        <w:t xml:space="preserve">Bratsch et al. (2015)</w:t>
      </w:r>
      <w:r>
        <w:t xml:space="preserve">, confirming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availabe for their classification</w:t>
      </w:r>
      <w:r>
        <w:t xml:space="preserve"> </w:t>
      </w:r>
      <w:r>
        <w:t xml:space="preserve">(Fantz 2008)</w:t>
      </w:r>
      <w:r>
        <w:t xml:space="preserve">. Furthermore, the horticultural industry has created a diverse array of cultivars of these plants, which are often mislabeled</w:t>
      </w:r>
      <w:r>
        <w:t xml:space="preserve"> </w:t>
      </w:r>
      <w:r>
        <w:t xml:space="preserve">(Fantz 2008)</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highlights the threat of different strains of OFV; which will be a definite concern to the multi-billion dollar citrus industry. Lastly, some OFV isolates are known to be involved with citrus leprosis disease in Mexico</w:t>
      </w:r>
      <w:r>
        <w:t xml:space="preserve"> </w:t>
      </w:r>
      <w:r>
        <w:t xml:space="preserve">(Roy et al. 2015)</w:t>
      </w:r>
      <w:r>
        <w:t xml:space="preserve">, which is a cause for concern for the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3).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86" w:name="references"/>
    <w:p>
      <w:pPr>
        <w:pStyle w:val="Heading3"/>
      </w:pPr>
      <w:r>
        <w:t xml:space="preserve">References</w:t>
      </w:r>
    </w:p>
    <w:bookmarkStart w:id="85"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6"/>
    <w:bookmarkStart w:id="37"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7"/>
    <w:bookmarkStart w:id="3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8"/>
    <w:bookmarkStart w:id="39"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9"/>
    <w:bookmarkStart w:id="40"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0"/>
    <w:bookmarkStart w:id="41"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1"/>
    <w:bookmarkStart w:id="42"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2"/>
    <w:bookmarkStart w:id="43"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3"/>
    <w:bookmarkStart w:id="44"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4"/>
    <w:bookmarkStart w:id="45"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5"/>
    <w:bookmarkStart w:id="46" w:name="ref-Fantz2008a"/>
    <w:p>
      <w:pPr>
        <w:pStyle w:val="Bibliography"/>
      </w:pPr>
      <w:r>
        <w:rPr>
          <w:bCs/>
          <w:b/>
        </w:rPr>
        <w:t xml:space="preserve">Fantz, P. R.</w:t>
      </w:r>
      <w:r>
        <w:t xml:space="preserve"> </w:t>
      </w:r>
      <w:r>
        <w:rPr>
          <w:bCs/>
          <w:b/>
        </w:rPr>
        <w:t xml:space="preserve">2008</w:t>
      </w:r>
      <w:r>
        <w:t xml:space="preserve">. Macrophytography of cultivated liriopogons and genera delineation.</w:t>
      </w:r>
      <w:r>
        <w:t xml:space="preserve"> </w:t>
      </w:r>
      <w:r>
        <w:t xml:space="preserve">HortTechnology</w:t>
      </w:r>
      <w:r>
        <w:t xml:space="preserve">. 18: 334–342.</w:t>
      </w:r>
    </w:p>
    <w:bookmarkEnd w:id="46"/>
    <w:bookmarkStart w:id="47"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47"/>
    <w:bookmarkStart w:id="48"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48"/>
    <w:bookmarkStart w:id="49"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9"/>
    <w:bookmarkStart w:id="50"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0"/>
    <w:bookmarkStart w:id="51"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1"/>
    <w:bookmarkStart w:id="52"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2"/>
    <w:bookmarkStart w:id="53"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3"/>
    <w:bookmarkStart w:id="54"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4"/>
    <w:bookmarkStart w:id="5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5"/>
    <w:bookmarkStart w:id="56"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6"/>
    <w:bookmarkStart w:id="57"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7"/>
    <w:bookmarkStart w:id="58"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8"/>
    <w:bookmarkStart w:id="59"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9"/>
    <w:bookmarkStart w:id="60"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0"/>
    <w:bookmarkStart w:id="61"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1"/>
    <w:bookmarkStart w:id="62"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2"/>
    <w:bookmarkStart w:id="63"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3"/>
    <w:bookmarkStart w:id="6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4"/>
    <w:bookmarkStart w:id="65"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5"/>
    <w:bookmarkStart w:id="6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6"/>
    <w:bookmarkStart w:id="67"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7"/>
    <w:bookmarkStart w:id="68"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68"/>
    <w:bookmarkStart w:id="69"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69"/>
    <w:bookmarkStart w:id="70"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0"/>
    <w:bookmarkStart w:id="7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1"/>
    <w:bookmarkStart w:id="72"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2"/>
    <w:bookmarkStart w:id="7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3"/>
    <w:bookmarkStart w:id="74"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4"/>
    <w:bookmarkStart w:id="7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75"/>
    <w:bookmarkStart w:id="7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76"/>
    <w:bookmarkStart w:id="77"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77"/>
    <w:bookmarkStart w:id="78"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78"/>
    <w:bookmarkStart w:id="79"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79"/>
    <w:bookmarkStart w:id="8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0"/>
    <w:bookmarkStart w:id="8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1"/>
    <w:bookmarkStart w:id="8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2"/>
    <w:bookmarkStart w:id="8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3"/>
    <w:bookmarkStart w:id="84"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4"/>
    <w:bookmarkEnd w:id="85"/>
    <w:bookmarkEnd w:id="86"/>
    <w:bookmarkStart w:id="87"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3: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7"/>
    <w:bookmarkStart w:id="91"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0"/>
                    <a:stretch>
                      <a:fillRect/>
                    </a:stretch>
                  </pic:blipFill>
                  <pic:spPr bwMode="auto">
                    <a:xfrm>
                      <a:off x="0" y="0"/>
                      <a:ext cx="5943600" cy="3962400"/>
                    </a:xfrm>
                    <a:prstGeom prst="rect">
                      <a:avLst/>
                    </a:prstGeom>
                    <a:noFill/>
                    <a:ln w="9525">
                      <a:noFill/>
                      <a:headEnd/>
                      <a:tailEnd/>
                    </a:ln>
                  </pic:spPr>
                </pic:pic>
              </a:graphicData>
            </a:graphic>
          </wp:inline>
        </w:drawing>
      </w:r>
    </w:p>
    <w:bookmarkEnd w:id="91"/>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2021-03-26T17:22:18Z</dcterms:created>
  <dcterms:modified xsi:type="dcterms:W3CDTF">2021-03-26T17:22:18Z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