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6.png" ContentType="image/png"/>
  <Override PartName="/word/media/rId167.png" ContentType="image/png"/>
  <Override PartName="/word/media/rId1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cff80c6e561e8ec505c91a31dadfea359c27cf6"/>
    <w:p>
      <w:pPr>
        <w:pStyle w:val="Heading3"/>
      </w:pPr>
      <w:r>
        <w:rPr>
          <w:iCs/>
          <w:i/>
        </w:rPr>
        <w:t xml:space="preserve">Brevipalpus</w:t>
      </w:r>
      <w:r>
        <w:t xml:space="preserve">-transmitted orchid fleck virus infecting three new ornamental hosts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detection of orchid fleck virus (OFV), belonging to the orchid-infecting subgroup (OFV-Orc), infecting three unreported hosts: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Strains of OFV-Orc infect over 50 plant species belonging to the plant families Orchidaceae, Asparagaceae (Nolinoidaea), and infects</w:t>
      </w:r>
      <w:r>
        <w:t xml:space="preserve"> </w:t>
      </w:r>
      <w:r>
        <w:rPr>
          <w:iCs/>
          <w:i/>
        </w:rPr>
        <w:t xml:space="preserve">Citrus</w:t>
      </w:r>
      <w:r>
        <w:t xml:space="preserve"> </w:t>
      </w:r>
      <w:r>
        <w:t xml:space="preserve">(Rutaceae) as citrus leprosis disease. The only known vectors of OFV-Orc are the flat mites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w:t>
      </w:r>
    </w:p>
    <w:p>
      <w:pPr>
        <w:pStyle w:val="BodyText"/>
      </w:pPr>
      <w:r>
        <w:t xml:space="preserve">Chlorotic ringspots and flecking were seen affecting Liriopogons (</w:t>
      </w:r>
      <w:r>
        <w:rPr>
          <w:iCs/>
          <w:i/>
        </w:rPr>
        <w:t xml:space="preserve">Liriope</w:t>
      </w:r>
      <w:r>
        <w:t xml:space="preserve"> </w:t>
      </w:r>
      <w:r>
        <w:t xml:space="preserve">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w:t>
      </w:r>
    </w:p>
    <w:p>
      <w:pPr>
        <w:pStyle w:val="BodyText"/>
      </w:pPr>
      <w:r>
        <w:t xml:space="preserve">Two orchid-infecting strains of OFV were detected via combinations of conventional RT-PCR, RT-qPCR, Sanger sequencing and High Throughput Sequencing. Amplicons shared 98% nucleotide identity with OFV-Orc1 and OFV-Orc2 RNA2 genome sequences available in NCBI GenBank. Coinfections were seen in each county, but single strains of OFV-Orc were seen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w:t>
      </w:r>
    </w:p>
    <w:p>
      <w:pPr>
        <w:pStyle w:val="BodyText"/>
      </w:pPr>
      <w:r>
        <w:t xml:space="preserve">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In conclusion, OFV is present in northern Florida, representing a risk for susceptible plants in the southeastern US.</w:t>
      </w:r>
    </w:p>
    <w:bookmarkEnd w:id="21"/>
    <w:bookmarkStart w:id="22" w:name="resumen"/>
    <w:p>
      <w:pPr>
        <w:pStyle w:val="Heading3"/>
      </w:pPr>
      <w:r>
        <w:t xml:space="preserve">Resumen</w:t>
      </w:r>
    </w:p>
    <w:p>
      <w:pPr>
        <w:pStyle w:val="FirstParagraph"/>
      </w:pPr>
      <w:r>
        <w:t xml:space="preserve">Se describe la primera detección del virus de orchid fleck virus, lo cual pertenece al subgrupo que infecta a las orquídeas (OFV-Orc), infectando a tres huéspedes no reportados: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por los condados de Leon y Alachua, FL. Las cepas del OFV-Orc se puedan infectar más que 50 especies de plantas pertenecientes a las familias Orchidaceae, Asparagaceae (Nolinoidaea), y infecta</w:t>
      </w:r>
      <w:r>
        <w:t xml:space="preserve"> </w:t>
      </w:r>
      <w:r>
        <w:rPr>
          <w:iCs/>
          <w:i/>
        </w:rPr>
        <w:t xml:space="preserve">Citrus</w:t>
      </w:r>
      <w:r>
        <w:t xml:space="preserve"> </w:t>
      </w:r>
      <w:r>
        <w:t xml:space="preserve">(Rutaceae) cómo la enfermedad leprosis de los cítricos. Los únicos vectores de OFV-Orc son los falsos ácaros tetraníquidos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La Florida tiene varias plantas en el paisaje, por lo cúales las especias de</w:t>
      </w:r>
      <w:r>
        <w:t xml:space="preserve"> </w:t>
      </w:r>
      <w:r>
        <w:rPr>
          <w:iCs/>
          <w:i/>
        </w:rPr>
        <w:t xml:space="preserve">Brevipalpus</w:t>
      </w:r>
      <w:r>
        <w:t xml:space="preserve"> </w:t>
      </w:r>
      <w:r>
        <w:t xml:space="preserve">se puedan alimentarse, y esas plantas son susceptibles a las infecciones de OFV-Orc.</w:t>
      </w:r>
      <w:r>
        <w:t xml:space="preserve"> </w:t>
      </w:r>
      <w:r>
        <w:t xml:space="preserve">Se observaron manchas anulares cloróticas y salpicaduras por las hojas de las Serpentinas (</w:t>
      </w:r>
      <w:r>
        <w:rPr>
          <w:iCs/>
          <w:i/>
        </w:rPr>
        <w:t xml:space="preserve">Liriope</w:t>
      </w:r>
      <w:r>
        <w:t xml:space="preserve"> </w:t>
      </w:r>
      <w:r>
        <w:t xml:space="preserve">y</w:t>
      </w:r>
      <w:r>
        <w:t xml:space="preserve"> </w:t>
      </w:r>
      <w:r>
        <w:rPr>
          <w:iCs/>
          <w:i/>
        </w:rPr>
        <w:t xml:space="preserve">Ophiopogon</w:t>
      </w:r>
      <w:r>
        <w:t xml:space="preserve"> </w:t>
      </w:r>
      <w:r>
        <w:t xml:space="preserve">spp.) y también se vieron hojas cloróticas del</w:t>
      </w:r>
      <w:r>
        <w:t xml:space="preserve"> </w:t>
      </w:r>
      <w:r>
        <w:rPr>
          <w:iCs/>
          <w:i/>
        </w:rPr>
        <w:t xml:space="preserve">A. elatior</w:t>
      </w:r>
      <w:r>
        <w:t xml:space="preserve"> </w:t>
      </w:r>
      <w:r>
        <w:t xml:space="preserve">adyacente, situado en el condando de Leon, FL. Los diagnósticos del laboratorio local fueron negativos para los patógenos comunes, por lo tanto, se enviaron nuevos ejemplares del tejido de las plantas al Florida Department of Agriculture and Consumer Services (FDACS) y al USDA-ARS para su identificación.</w:t>
      </w:r>
    </w:p>
    <w:p>
      <w:pPr>
        <w:pStyle w:val="BodyText"/>
      </w:pPr>
      <w:r>
        <w:t xml:space="preserve">Se detectaron dos cepas del OFV mediante la combinación de RT-PCR convencional, RT-qPCR, secuenciación de Sanger y secuenciación de alto rendimiento. Los amplicones compartían una identidad de nucleótidos del 98% con las secuencias del genoma de ARN2 de OFV-Orc1 y OFV-Orc2 disponibles en el NCBI GenBank. Se observaron coinfecciones del virus en cada condado, pero se observaron cepas únicas de OFV-Orc en</w:t>
      </w:r>
      <w:r>
        <w:t xml:space="preserve"> </w:t>
      </w:r>
      <w:r>
        <w:rPr>
          <w:iCs/>
          <w:i/>
        </w:rPr>
        <w:t xml:space="preserve">L. muscari</w:t>
      </w:r>
      <w:r>
        <w:t xml:space="preserve"> </w:t>
      </w:r>
      <w:r>
        <w:t xml:space="preserve">(Alachua , OFV-Orc2) y</w:t>
      </w:r>
      <w:r>
        <w:t xml:space="preserve"> </w:t>
      </w:r>
      <w:r>
        <w:rPr>
          <w:iCs/>
          <w:i/>
        </w:rPr>
        <w:t xml:space="preserve">A. elatior</w:t>
      </w:r>
      <w:r>
        <w:t xml:space="preserve"> </w:t>
      </w:r>
      <w:r>
        <w:t xml:space="preserve">(Leon , OFV-Orc1).</w:t>
      </w:r>
    </w:p>
    <w:p>
      <w:pPr>
        <w:pStyle w:val="BodyText"/>
      </w:pPr>
      <w:r>
        <w:t xml:space="preserve">Se identificaron tres ácaros mediante microscopía electrónica de barrido criogénico (Cryo-SEM) con potencial de ser vectores:</w:t>
      </w:r>
      <w:r>
        <w:t xml:space="preserve"> </w:t>
      </w:r>
      <w:r>
        <w:rPr>
          <w:iCs/>
          <w:i/>
        </w:rPr>
        <w:t xml:space="preserve">Brevipalpus californicus</w:t>
      </w:r>
      <w:r>
        <w:t xml:space="preserve"> </w:t>
      </w:r>
      <w:r>
        <w:t xml:space="preserve">(Banks)</w:t>
      </w:r>
      <w:r>
        <w:t xml:space="preserve"> </w:t>
      </w:r>
      <w:r>
        <w:rPr>
          <w:iCs/>
          <w:i/>
        </w:rPr>
        <w:t xml:space="preserve">sensu lato</w:t>
      </w:r>
      <w:r>
        <w:t xml:space="preserve">,</w:t>
      </w:r>
      <w:r>
        <w:t xml:space="preserve"> </w:t>
      </w:r>
      <w:r>
        <w:rPr>
          <w:iCs/>
          <w:i/>
        </w:rPr>
        <w:t xml:space="preserve">B. obovatus</w:t>
      </w:r>
      <w:r>
        <w:t xml:space="preserve"> </w:t>
      </w:r>
      <w:r>
        <w:t xml:space="preserve">Donnadieu y</w:t>
      </w:r>
      <w:r>
        <w:t xml:space="preserve"> </w:t>
      </w:r>
      <w:r>
        <w:rPr>
          <w:iCs/>
          <w:i/>
        </w:rPr>
        <w:t xml:space="preserve">B. confusus</w:t>
      </w:r>
      <w:r>
        <w:t xml:space="preserve"> </w:t>
      </w:r>
      <w:r>
        <w:t xml:space="preserve">Baker.</w:t>
      </w:r>
      <w:r>
        <w:t xml:space="preserve"> </w:t>
      </w:r>
      <w:r>
        <w:t xml:space="preserve">En conclusión, OFV está presente en el norte de Florida, lo que representa un riesgo para las plantas susceptibles en el sureste de Estados Unidos.</w:t>
      </w:r>
    </w:p>
    <w:bookmarkEnd w:id="22"/>
    <w:bookmarkStart w:id="25"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Nolinoidaea,</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t xml:space="preserve">Orchid fleck virus (OFV), is the type member for the genus</w:t>
      </w:r>
      <w:r>
        <w:t xml:space="preserve"> </w:t>
      </w:r>
      <w:r>
        <w:rPr>
          <w:iCs/>
          <w:i/>
        </w:rPr>
        <w:t xml:space="preserve">Dichorhavirus</w:t>
      </w:r>
      <w:r>
        <w:t xml:space="preserve">, family</w:t>
      </w:r>
      <w:r>
        <w:t xml:space="preserve"> </w:t>
      </w:r>
      <w:r>
        <w:rPr>
          <w:iCs/>
          <w:i/>
        </w:rPr>
        <w:t xml:space="preserve">Rhabdoviridae</w:t>
      </w:r>
      <w:r>
        <w:t xml:space="preserve">. OFV is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(Trombidiformes: Tenuipalpidae) are the only which have been experimentally shown to transmit dichorhaviruses</w:t>
      </w:r>
      <w:r>
        <w:t xml:space="preserve"> </w:t>
      </w:r>
      <w:r>
        <w:t xml:space="preserve">(Maeda 1998)</w:t>
      </w:r>
      <w:r>
        <w:t xml:space="preserve">.</w:t>
      </w:r>
    </w:p>
    <w:p>
      <w:pPr>
        <w:pStyle w:val="BodyText"/>
      </w:pPr>
      <w:r>
        <w:t xml:space="preserve">OFV-infected plants exhibit various symptoms depending on the infected plant species as well as the strain of the OFV associated with the infection</w:t>
      </w:r>
      <w:r>
        <w:t xml:space="preserve"> </w:t>
      </w:r>
      <w:r>
        <w:t xml:space="preserve">(Kubo et al. 2009a)</w:t>
      </w:r>
      <w:r>
        <w:t xml:space="preserve">, but symptoms typically appear as chlorotic flecks, which ultimately coalesce into ringspot patterns.</w:t>
      </w:r>
    </w:p>
    <w:p>
      <w:pPr>
        <w:pStyle w:val="BodyText"/>
      </w:pPr>
      <w:r>
        <w:t xml:space="preserve">OFV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et al. 2018b)</w:t>
      </w:r>
      <w:r>
        <w:t xml:space="preserve">, and Rutaceae, where it causes citrus leprosis-like symptoms</w:t>
      </w:r>
      <w:r>
        <w:t xml:space="preserve"> </w:t>
      </w:r>
      <w:r>
        <w:t xml:space="preserve">(Roy et al. 2015, 2020, Cook et al. 2019, Velarde et al. 2021)</w:t>
      </w:r>
      <w:r>
        <w:t xml:space="preserve">. Mechanical transmission of OFV is possible under laboratory conditions to some plants belonging to the plant families Chenopodiaceae, Aizoaceae, Fabaceae, and Solanaceae</w:t>
      </w:r>
      <w:r>
        <w:t xml:space="preserve"> </w:t>
      </w:r>
      <w:r>
        <w:t xml:space="preserve">(Chang et al. 1976, Kondo et al. 2003, Peng et al. 2013)</w:t>
      </w:r>
      <w:r>
        <w:t xml:space="preserve">.</w:t>
      </w:r>
    </w:p>
    <w:bookmarkStart w:id="23" w:name="virus-detection"/>
    <w:p>
      <w:pPr>
        <w:pStyle w:val="Heading4"/>
      </w:pPr>
      <w:r>
        <w:t xml:space="preserve">Virus Detection</w:t>
      </w:r>
    </w:p>
    <w:p>
      <w:pPr>
        <w:pStyle w:val="FirstParagraph"/>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comprised of grass-like monocotyledonous liliod plants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(Asparagaceae: Nolinoidaea) are considered the most important ground cover plant in the southeastern United States</w:t>
      </w:r>
      <w:r>
        <w:t xml:space="preserve"> </w:t>
      </w:r>
      <w:r>
        <w:t xml:space="preserve">(Mcharo et al. 2003)</w:t>
      </w:r>
      <w:r>
        <w:t xml:space="preserve">.</w:t>
      </w:r>
    </w:p>
    <w:p>
      <w:pPr>
        <w:pStyle w:val="BodyText"/>
      </w:pPr>
      <w:r>
        <w:t xml:space="preserve">Viral infections of suspected leaf samples were initially tested at the Plant Disease Diagnostic Clinic at the North Florida Research and Education Center (NFREC) in Quincy, FL. All the samples were tested with one step conventional RT-PCR, and were found negative for begomovirus, carlavirus, potyvirus, tospovirus, cucumber mosaic virus and tobacco mosaic virus.</w:t>
      </w:r>
    </w:p>
    <w:p>
      <w:pPr>
        <w:pStyle w:val="BodyText"/>
      </w:pPr>
      <w:r>
        <w:t xml:space="preserve">As initial diagnostics were inconclusive, samples were taken of putatively infected plants with ringspot symptoms during July and August of 2020. Leaves were taken from</w:t>
      </w:r>
      <w:r>
        <w:t xml:space="preserve"> </w:t>
      </w:r>
      <w:r>
        <w:rPr>
          <w:iCs/>
          <w:i/>
        </w:rPr>
        <w:t xml:space="preserve">Liriope</w:t>
      </w:r>
      <w:r>
        <w:t xml:space="preserve"> </w:t>
      </w:r>
      <w:r>
        <w:t xml:space="preserve">spp. and</w:t>
      </w:r>
      <w:r>
        <w:t xml:space="preserve"> </w:t>
      </w:r>
      <w:r>
        <w:rPr>
          <w:iCs/>
          <w:i/>
        </w:rPr>
        <w:t xml:space="preserve">Ophiopogon</w:t>
      </w:r>
      <w:r>
        <w:t xml:space="preserve"> </w:t>
      </w:r>
      <w:r>
        <w:t xml:space="preserve">spp., as well as</w:t>
      </w:r>
      <w:r>
        <w:t xml:space="preserve"> </w:t>
      </w:r>
      <w:r>
        <w:rPr>
          <w:iCs/>
          <w:i/>
        </w:rPr>
        <w:t xml:space="preserve">Aspidistra elatior</w:t>
      </w:r>
      <w:r>
        <w:t xml:space="preserve"> </w:t>
      </w:r>
      <w:r>
        <w:t xml:space="preserve">Blume (Asparagaceae: Nolinoidaea), which were suspected to be infected, due to both its proximity to infected</w:t>
      </w:r>
      <w:r>
        <w:t xml:space="preserve"> </w:t>
      </w:r>
      <w:r>
        <w:rPr>
          <w:iCs/>
          <w:i/>
        </w:rPr>
        <w:t xml:space="preserve">Liriope</w:t>
      </w:r>
      <w:r>
        <w:t xml:space="preserve"> </w:t>
      </w:r>
      <w:r>
        <w:t xml:space="preserve">and the presence of unusually chlorotic leaves (Fig. 2). Plant materials were sent to the Florida Department of Agriculture and Consumer Services (FDACS) for identification.</w:t>
      </w:r>
    </w:p>
    <w:p>
      <w:pPr>
        <w:pStyle w:val="BodyText"/>
      </w:pPr>
      <w:r>
        <w:t xml:space="preserve">The FDACS determined that the pathogen was OFV using previously published primers and methods to conduct RT-PCR and Sanger sequencing</w:t>
      </w:r>
      <w:r>
        <w:t xml:space="preserve"> </w:t>
      </w:r>
      <w:r>
        <w:t xml:space="preserve">(Kubo et al. 2009b, Kubo et al. 2009a, Ramos-González et al. 2015)</w:t>
      </w:r>
      <w:r>
        <w:t xml:space="preserve">. Orchid subgroup 1, OFV-Orc, was identified following the methods described in</w:t>
      </w:r>
      <w:r>
        <w:t xml:space="preserve"> </w:t>
      </w:r>
      <w:r>
        <w:t xml:space="preserve">Kondo et al. (2017)</w:t>
      </w:r>
      <w:r>
        <w:t xml:space="preserve">. Sequencing demonstrated a shared 98% nucleotide identity with the orchid strain subgroup, OFV-Orc (isolates So and Br with GenBank Accession numbers: AB244418 and MK522807, respectively)</w:t>
      </w:r>
      <w:r>
        <w:t xml:space="preserve"> </w:t>
      </w:r>
      <w:r>
        <w:t xml:space="preserve">(Kondo et al. 2006, 2017)</w:t>
      </w:r>
      <w:r>
        <w:t xml:space="preserve">.</w:t>
      </w:r>
    </w:p>
    <w:p>
      <w:pPr>
        <w:pStyle w:val="BodyText"/>
      </w:pPr>
      <w:r>
        <w:t xml:space="preserve">These samples from FDACS were subsequently retested by the USDA-APHIS-PPQ S&amp;T Beltsville laboratory, in conjunction with tests of fresh samples from both Alachua and Leon counties. The USDA used RT-PCR, RT-qPCR, and High Throughput Sequencing (HTS) to reconfirm the presence of OFV. RT-PCR and qPCR with Generic R2-Dicho-GF and R2-Dicho-GR primers amplifed ~800 nt of L-gene (RNA2) amplicon</w:t>
      </w:r>
      <w:r>
        <w:t xml:space="preserve"> </w:t>
      </w:r>
      <w:r>
        <w:t xml:space="preserve">(Roy et al. 2020)</w:t>
      </w:r>
      <w:r>
        <w:t xml:space="preserve">, and OFV-Orc1 and OFV-Orc2 were detected in both</w:t>
      </w:r>
      <w:r>
        <w:t xml:space="preserve"> </w:t>
      </w:r>
      <w:r>
        <w:rPr>
          <w:iCs/>
          <w:i/>
        </w:rPr>
        <w:t xml:space="preserve">O. intermedius</w:t>
      </w:r>
      <w:r>
        <w:t xml:space="preserve"> </w:t>
      </w:r>
      <w:r>
        <w:t xml:space="preserve">and</w:t>
      </w:r>
      <w:r>
        <w:t xml:space="preserve"> </w:t>
      </w:r>
      <w:r>
        <w:rPr>
          <w:iCs/>
          <w:i/>
        </w:rPr>
        <w:t xml:space="preserve">A. elatior</w:t>
      </w:r>
      <w:r>
        <w:t xml:space="preserve"> </w:t>
      </w:r>
      <w:r>
        <w:t xml:space="preserve">from Leon County. OFV-Orc1 and OFV-Orc2 strains share &gt;90% nt sequence identity and differ &gt;25% in the L gene nucleotide sequence, indicating two separate species of</w:t>
      </w:r>
      <w:r>
        <w:t xml:space="preserve"> </w:t>
      </w:r>
      <w:r>
        <w:rPr>
          <w:iCs/>
          <w:i/>
        </w:rPr>
        <w:t xml:space="preserve">Dichoravirus</w:t>
      </w:r>
      <w:r>
        <w:t xml:space="preserve"> </w:t>
      </w:r>
      <w:r>
        <w:t xml:space="preserve">(Dietzgen et al. 2014)</w:t>
      </w:r>
      <w:r>
        <w:t xml:space="preserve">.</w:t>
      </w:r>
    </w:p>
    <w:p>
      <w:pPr>
        <w:pStyle w:val="BodyText"/>
      </w:pPr>
      <w:r>
        <w:t xml:space="preserve">HTS reaffirmed the presence of OFV-Orc1 and OFV-Orc2 strains in Leon and Alachua counties (Table 1). HTS results from Leon County revealed that</w:t>
      </w:r>
      <w:r>
        <w:t xml:space="preserve"> </w:t>
      </w:r>
      <w:r>
        <w:rPr>
          <w:iCs/>
          <w:i/>
        </w:rPr>
        <w:t xml:space="preserve">L. muscari</w:t>
      </w:r>
      <w:r>
        <w:t xml:space="preserve"> </w:t>
      </w:r>
      <w:r>
        <w:t xml:space="preserve">were coinfected with both strains (OFV-Orc1 and OFV-Orc2), while</w:t>
      </w:r>
      <w:r>
        <w:t xml:space="preserve"> </w:t>
      </w:r>
      <w:r>
        <w:rPr>
          <w:iCs/>
          <w:i/>
        </w:rPr>
        <w:t xml:space="preserve">A. elatior</w:t>
      </w:r>
      <w:r>
        <w:t xml:space="preserve"> </w:t>
      </w:r>
      <w:r>
        <w:t xml:space="preserve">were solely infected with OFV-Orc1. HTS of</w:t>
      </w:r>
      <w:r>
        <w:t xml:space="preserve"> </w:t>
      </w:r>
      <w:r>
        <w:rPr>
          <w:iCs/>
          <w:i/>
        </w:rPr>
        <w:t xml:space="preserve">L. muscari</w:t>
      </w:r>
      <w:r>
        <w:t xml:space="preserve"> </w:t>
      </w:r>
      <w:r>
        <w:t xml:space="preserve">from Alachua County revealed infections with the OFV-Orc2 strain.</w:t>
      </w:r>
    </w:p>
    <w:p>
      <w:pPr>
        <w:pStyle w:val="BodyText"/>
      </w:pPr>
      <w:r>
        <w:t xml:space="preserve">After the initial identification by FDACS of OFV-Orc strains, mite samples were collected from symptomatic Asparagaceae in Leon County. Most mites collected were Tenuipalpid mites (flat mites or false spider mites), a pest of ornamental plants, some of which are known to act as vectors for plant viruses</w:t>
      </w:r>
      <w:r>
        <w:t xml:space="preserve"> </w:t>
      </w:r>
      <w:r>
        <w:t xml:space="preserve">(Childers et al. 2003, Childers and Rodrigues 2011)</w:t>
      </w:r>
      <w:r>
        <w:t xml:space="preserve">.</w:t>
      </w:r>
    </w:p>
    <w:bookmarkEnd w:id="23"/>
    <w:bookmarkStart w:id="24" w:name="mite-description"/>
    <w:p>
      <w:pPr>
        <w:pStyle w:val="Heading4"/>
      </w:pPr>
      <w:r>
        <w:t xml:space="preserve">Mite Description</w:t>
      </w:r>
    </w:p>
    <w:p>
      <w:pPr>
        <w:pStyle w:val="FirstParagraph"/>
      </w:pPr>
      <w:r>
        <w:t xml:space="preserve">Mite taxonomy is complicated by cryptic species complexes which occur in many plant-feeding groups of the Acari</w:t>
      </w:r>
      <w:r>
        <w:t xml:space="preserve"> </w:t>
      </w:r>
      <w:r>
        <w:t xml:space="preserve">(Umina and Hoffmann 1999, Skoracka and Dabert 2010, Arthur et al. 2011, Skoracka et al. 2013)</w:t>
      </w:r>
      <w:r>
        <w:t xml:space="preserve">, including tenuipalpid mites from the genus</w:t>
      </w:r>
      <w:r>
        <w:t xml:space="preserve"> </w:t>
      </w:r>
      <w:r>
        <w:rPr>
          <w:iCs/>
          <w:i/>
        </w:rPr>
        <w:t xml:space="preserve">Brevipalpus</w:t>
      </w:r>
      <w:r>
        <w:t xml:space="preserve"> </w:t>
      </w:r>
      <w:r>
        <w:t xml:space="preserve">(Navia et al. 2013)</w:t>
      </w:r>
      <w:r>
        <w:t xml:space="preserve">. The commonly used phase-contrast microscopy is insufficient to detect some diagnostic characters for separation of cryptic species, instead best practices recommend the combination of Differential Interference Contrast (DIC) Microscopy and Scanning Electron Microscopy along with molecular methods to separate cryptic species</w:t>
      </w:r>
      <w:r>
        <w:t xml:space="preserve"> </w:t>
      </w:r>
      <w:r>
        <w:t xml:space="preserve">(Beard et al. 2015)</w:t>
      </w:r>
      <w:r>
        <w:t xml:space="preserve">.</w:t>
      </w:r>
    </w:p>
    <w:p>
      <w:pPr>
        <w:pStyle w:val="BodyText"/>
      </w:pPr>
      <w:r>
        <w:t xml:space="preserve">The flat mites collected were initially suspected to belong to</w:t>
      </w:r>
      <w:r>
        <w:t xml:space="preserve"> </w:t>
      </w:r>
      <w:r>
        <w:rPr>
          <w:iCs/>
          <w:i/>
        </w:rPr>
        <w:t xml:space="preserve">B. californicus</w:t>
      </w:r>
      <w:r>
        <w:t xml:space="preserve"> </w:t>
      </w:r>
      <w:r>
        <w:t xml:space="preserve">after inspection with phase contrast microscopy. Subsequent observation via DIC microscopy at FDACS agreed with this tentative identification. Unfortunately, the</w:t>
      </w:r>
      <w:r>
        <w:t xml:space="preserve"> </w:t>
      </w:r>
      <w:r>
        <w:rPr>
          <w:iCs/>
          <w:i/>
        </w:rPr>
        <w:t xml:space="preserve">B. californicus</w:t>
      </w:r>
      <w:r>
        <w:t xml:space="preserve"> </w:t>
      </w:r>
      <w:r>
        <w:t xml:space="preserve">s.l. species group,</w:t>
      </w:r>
      <w:r>
        <w:t xml:space="preserve"> </w:t>
      </w:r>
      <w:r>
        <w:rPr>
          <w:iCs/>
          <w:i/>
        </w:rPr>
        <w:t xml:space="preserve">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New mite samples were collected from symptomatic liriopogons and</w:t>
      </w:r>
      <w:r>
        <w:t xml:space="preserve"> </w:t>
      </w:r>
      <w:r>
        <w:rPr>
          <w:iCs/>
          <w:i/>
        </w:rPr>
        <w:t xml:space="preserve">A. elatior</w:t>
      </w:r>
      <w:r>
        <w:t xml:space="preserve"> </w:t>
      </w:r>
      <w:r>
        <w:t xml:space="preserve">in Leon County and sent to USDA-ARS’s Electron and Confocal Microscopy Unit for analysis. Three mite species were recovered and examined under cryo-scanning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The recent report of OFV in the US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description of the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 this article made no mention of mites or further investigations of the virus. The first report of OFV in the continental US was</w:t>
      </w:r>
      <w:r>
        <w:t xml:space="preserve"> </w:t>
      </w:r>
      <w:r>
        <w:t xml:space="preserve">Bratsch et al. (2015)</w:t>
      </w:r>
      <w:r>
        <w:t xml:space="preserve">, who confirmed the presence of OFV in</w:t>
      </w:r>
      <w:r>
        <w:t xml:space="preserve"> </w:t>
      </w:r>
      <w:r>
        <w:rPr>
          <w:iCs/>
          <w:i/>
        </w:rPr>
        <w:t xml:space="preserve">Phalaenopsis</w:t>
      </w:r>
      <w:r>
        <w:t xml:space="preserve"> </w:t>
      </w:r>
      <w:r>
        <w:t xml:space="preserve">hybrids using Transmission Electron Microscopy of ultrathin sections of plant tissue as well as molecular sequence analysis. They also discuss the association of OFV with</w:t>
      </w:r>
      <w:r>
        <w:t xml:space="preserve"> </w:t>
      </w:r>
      <w:r>
        <w:rPr>
          <w:iCs/>
          <w:i/>
        </w:rPr>
        <w:t xml:space="preserve">Brevipalpus</w:t>
      </w:r>
      <w:r>
        <w:t xml:space="preserve"> </w:t>
      </w:r>
      <w:r>
        <w:t xml:space="preserve">mites, but the authors did not make a conclusive species identification beyond suggesting that the mite vector belonged to the</w:t>
      </w:r>
      <w:r>
        <w:t xml:space="preserve"> </w:t>
      </w:r>
      <w:r>
        <w:rPr>
          <w:iCs/>
          <w:i/>
        </w:rPr>
        <w:t xml:space="preserve">B. californicus</w:t>
      </w:r>
      <w:r>
        <w:t xml:space="preserve"> </w:t>
      </w:r>
      <w:r>
        <w:t xml:space="preserve">group, referring to</w:t>
      </w:r>
      <w:r>
        <w:t xml:space="preserve"> </w:t>
      </w:r>
      <w:r>
        <w:t xml:space="preserve">Kondo et al. (2003)</w:t>
      </w:r>
      <w:r>
        <w:t xml:space="preserve">’s publication</w:t>
      </w:r>
      <w:r>
        <w:t xml:space="preserve"> </w:t>
      </w:r>
      <w:r>
        <w:t xml:space="preserve">(Bratsch et al. 2015)</w:t>
      </w:r>
      <w:r>
        <w:t xml:space="preserve">.</w:t>
      </w:r>
    </w:p>
    <w:p>
      <w:pPr>
        <w:pStyle w:val="BodyText"/>
      </w:pPr>
      <w:r>
        <w:t xml:space="preserve">Later reports of OFV described OFV infecting a previously undescribed Nolinoidaea hosts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 a different species of liriopogon than those identified from the Florida sites. We are not aware of any reports of OFV infecting liriopogons,</w:t>
      </w:r>
      <w:r>
        <w:t xml:space="preserve"> </w:t>
      </w:r>
      <w:r>
        <w:rPr>
          <w:iCs/>
          <w:i/>
        </w:rPr>
        <w:t xml:space="preserve">A. elatior</w:t>
      </w:r>
      <w:r>
        <w:t xml:space="preserve"> </w:t>
      </w:r>
      <w:r>
        <w:t xml:space="preserve">nor other Nolinoidaea in the US. Although</w:t>
      </w:r>
      <w:r>
        <w:t xml:space="preserve"> </w:t>
      </w:r>
      <w:r>
        <w:t xml:space="preserve">Zheng et al. (2013)</w:t>
      </w:r>
      <w:r>
        <w:t xml:space="preserve"> </w:t>
      </w:r>
      <w:r>
        <w:t xml:space="preserve">had mentioned an association between</w:t>
      </w:r>
      <w:r>
        <w:t xml:space="preserve"> </w:t>
      </w:r>
      <w:r>
        <w:rPr>
          <w:iCs/>
          <w:i/>
        </w:rPr>
        <w:t xml:space="preserve">B. californicus</w:t>
      </w:r>
      <w:r>
        <w:t xml:space="preserve"> </w:t>
      </w:r>
      <w:r>
        <w:t xml:space="preserve">and</w:t>
      </w:r>
      <w:r>
        <w:t xml:space="preserve"> </w:t>
      </w:r>
      <w:r>
        <w:rPr>
          <w:iCs/>
          <w:i/>
        </w:rPr>
        <w:t xml:space="preserve">A. elatior</w:t>
      </w:r>
      <w:r>
        <w:t xml:space="preserve">, they never reported symptoms of OFV-Orc in this plant. We believe that our findings indicate the first report of OFV-Orc infecting ornamental Nolinoidaea in Florida, and possibly the US. This publication also marks the first reports of</w:t>
      </w:r>
      <w:r>
        <w:t xml:space="preserve"> </w:t>
      </w:r>
      <w:r>
        <w:rPr>
          <w:iCs/>
          <w:i/>
        </w:rPr>
        <w:t xml:space="preserve">A. elatior</w:t>
      </w:r>
      <w:r>
        <w:t xml:space="preserve"> </w:t>
      </w:r>
      <w:r>
        <w:t xml:space="preserve">and</w:t>
      </w:r>
      <w:r>
        <w:t xml:space="preserve"> </w:t>
      </w:r>
      <w:r>
        <w:rPr>
          <w:iCs/>
          <w:i/>
        </w:rPr>
        <w:t xml:space="preserve">Ophiopogon</w:t>
      </w:r>
      <w:r>
        <w:t xml:space="preserve"> </w:t>
      </w:r>
      <w:r>
        <w:t xml:space="preserve">spp. as natural hosts of OFV-Orc.</w:t>
      </w:r>
    </w:p>
    <w:p>
      <w:pPr>
        <w:pStyle w:val="BodyText"/>
      </w:pPr>
      <w:r>
        <w:t xml:space="preserve">OFV consists of two orchid strains (OFV-Orc1 and OFV-Orc2) and two citrus strains (OFV-Cit1 and OFV-Cit2)</w:t>
      </w:r>
      <w:r>
        <w:t xml:space="preserve"> </w:t>
      </w:r>
      <w:r>
        <w:t xml:space="preserve">(Beltran-Beltran et al. 2020, Roy et al. 2020)</w:t>
      </w:r>
      <w:r>
        <w:t xml:space="preserve">. The OFV strains detected in Florida are identical in gene order, content, and genome sequence to the orchid strains of OFV infecting citrus in Hawaii, Mexico, Colombia, and South Africa</w:t>
      </w:r>
      <w:r>
        <w:t xml:space="preserve"> </w:t>
      </w:r>
      <w:r>
        <w:t xml:space="preserve">(Beltran-Beltran et al. 2020, Roy et al. 2020)</w:t>
      </w:r>
      <w:r>
        <w:t xml:space="preserve">. Both OFV-Orc1 and OFV-Orc2 infect citrus</w:t>
      </w:r>
      <w:r>
        <w:t xml:space="preserve"> </w:t>
      </w:r>
      <w:r>
        <w:t xml:space="preserve">(Roy et al. 2020)</w:t>
      </w:r>
      <w:r>
        <w:t xml:space="preserve">, but none of the citrus strains have been reported from any orchid species. The</w:t>
      </w:r>
      <w:r>
        <w:t xml:space="preserve"> </w:t>
      </w:r>
      <w:r>
        <w:rPr>
          <w:iCs/>
          <w:i/>
        </w:rPr>
        <w:t xml:space="preserve">Brevipalpus</w:t>
      </w:r>
      <w:r>
        <w:t xml:space="preserve"> </w:t>
      </w:r>
      <w:r>
        <w:t xml:space="preserve">mites collected from liriopogons and</w:t>
      </w:r>
      <w:r>
        <w:t xml:space="preserve"> </w:t>
      </w:r>
      <w:r>
        <w:rPr>
          <w:iCs/>
          <w:i/>
        </w:rPr>
        <w:t xml:space="preserve">A. elatior</w:t>
      </w:r>
      <w:r>
        <w:t xml:space="preserve"> </w:t>
      </w:r>
      <w:r>
        <w:t xml:space="preserve">in Leon County were abundant on OFV-infected plants very near to citrus trees, some plants even surrounding the trunk.</w:t>
      </w:r>
      <w:r>
        <w:t xml:space="preserve"> </w:t>
      </w:r>
      <w:r>
        <w:rPr>
          <w:iCs/>
          <w:i/>
        </w:rPr>
        <w:t xml:space="preserve">B. californicus</w:t>
      </w:r>
      <w:r>
        <w:t xml:space="preserve"> </w:t>
      </w:r>
      <w:r>
        <w:t xml:space="preserve">s. l. has been reported as a pest of citrus</w:t>
      </w:r>
      <w:r>
        <w:t xml:space="preserve"> </w:t>
      </w:r>
      <w:r>
        <w:t xml:space="preserve">(Childers et al. 2003)</w:t>
      </w:r>
      <w:r>
        <w:t xml:space="preserve"> </w:t>
      </w:r>
      <w:r>
        <w:t xml:space="preserve">and are often collected from citrus fruits</w:t>
      </w:r>
      <w:r>
        <w:t xml:space="preserve"> </w:t>
      </w:r>
      <w:r>
        <w:t xml:space="preserve">(Baker 1949, Baker and Tuttle 1987, Vacante 2010, 2016)</w:t>
      </w:r>
      <w:r>
        <w:t xml:space="preserve">. The proximity of these mite vectors to citrus raises the question: why these trees are not currently infected with OFV-Orc? It is important to note the uncertainty surrounding the vector for OFV-Orc. There are three mite species which have been recovered from OFV-Orc infected plants:</w:t>
      </w:r>
      <w:r>
        <w:t xml:space="preserve"> </w:t>
      </w:r>
      <w:r>
        <w:rPr>
          <w:iCs/>
          <w:i/>
        </w:rPr>
        <w:t xml:space="preserve">B. obovatus</w:t>
      </w:r>
      <w:r>
        <w:t xml:space="preserve">, and</w:t>
      </w:r>
      <w:r>
        <w:t xml:space="preserve"> </w:t>
      </w:r>
      <w:r>
        <w:rPr>
          <w:iCs/>
          <w:i/>
        </w:rPr>
        <w:t xml:space="preserve">B. confusus</w:t>
      </w:r>
      <w:r>
        <w:t xml:space="preserve"> </w:t>
      </w:r>
      <w:r>
        <w:t xml:space="preserve">and</w:t>
      </w:r>
      <w:r>
        <w:t xml:space="preserve"> </w:t>
      </w:r>
      <w:r>
        <w:rPr>
          <w:iCs/>
          <w:i/>
        </w:rPr>
        <w:t xml:space="preserve">B. californicus</w:t>
      </w:r>
      <w:r>
        <w:t xml:space="preserve"> </w:t>
      </w:r>
      <w:r>
        <w:t xml:space="preserve">s.l., but only</w:t>
      </w:r>
      <w:r>
        <w:t xml:space="preserve"> </w:t>
      </w:r>
      <w:r>
        <w:rPr>
          <w:iCs/>
          <w:i/>
        </w:rPr>
        <w:t xml:space="preserve">B. californicus</w:t>
      </w:r>
      <w:r>
        <w:t xml:space="preserve"> </w:t>
      </w:r>
      <w:r>
        <w:t xml:space="preserve">has been described as a vector of OFV. Even so, the</w:t>
      </w:r>
      <w:r>
        <w:t xml:space="preserve"> </w:t>
      </w:r>
      <w:r>
        <w:rPr>
          <w:iCs/>
          <w:i/>
        </w:rPr>
        <w:t xml:space="preserve">B. californicus</w:t>
      </w:r>
      <w:r>
        <w:t xml:space="preserve"> </w:t>
      </w:r>
      <w:r>
        <w:t xml:space="preserve">which we find on liriopogons and</w:t>
      </w:r>
      <w:r>
        <w:t xml:space="preserve"> </w:t>
      </w:r>
      <w:r>
        <w:rPr>
          <w:iCs/>
          <w:i/>
        </w:rPr>
        <w:t xml:space="preserve">A. elatior</w:t>
      </w:r>
      <w:r>
        <w:t xml:space="preserve"> </w:t>
      </w:r>
      <w:r>
        <w:t xml:space="preserve">may not be the same species as those found on citrus. Transmission of OFV from populations of</w:t>
      </w:r>
      <w:r>
        <w:t xml:space="preserve"> </w:t>
      </w:r>
      <w:r>
        <w:rPr>
          <w:iCs/>
          <w:i/>
        </w:rPr>
        <w:t xml:space="preserve">B. californicus</w:t>
      </w:r>
      <w:r>
        <w:t xml:space="preserve"> </w:t>
      </w:r>
      <w:r>
        <w:t xml:space="preserve">liriopogon/</w:t>
      </w:r>
      <w:r>
        <w:rPr>
          <w:iCs/>
          <w:i/>
        </w:rPr>
        <w:t xml:space="preserve">A. elatior</w:t>
      </w:r>
      <w:r>
        <w:t xml:space="preserve"> </w:t>
      </w:r>
      <w:r>
        <w:t xml:space="preserve">to citrus may be limited by host preferences, vectorial capacity, viral propagation/circulation in the vector, viral acquisition times, or feeding times required for transmission to citrus. Even so, these types of questions require future study to determine the potential of nolinoidaea to citrus transmission.</w:t>
      </w:r>
    </w:p>
    <w:p>
      <w:pPr>
        <w:pStyle w:val="BodyText"/>
      </w:pPr>
      <w:r>
        <w:t xml:space="preserve">Best practices for integrated pest management have not been created for controlling</w:t>
      </w:r>
      <w:r>
        <w:t xml:space="preserve"> </w:t>
      </w:r>
      <w:r>
        <w:rPr>
          <w:iCs/>
          <w:i/>
        </w:rPr>
        <w:t xml:space="preserve">Brevipalpus</w:t>
      </w:r>
      <w:r>
        <w:t xml:space="preserve"> </w:t>
      </w:r>
      <w:r>
        <w:t xml:space="preserve">mites on these ornamentals, but methods designed to control</w:t>
      </w:r>
      <w:r>
        <w:t xml:space="preserve"> </w:t>
      </w:r>
      <w:r>
        <w:rPr>
          <w:iCs/>
          <w:i/>
        </w:rPr>
        <w:t xml:space="preserve">Brevipalpus</w:t>
      </w:r>
      <w:r>
        <w:t xml:space="preserve"> </w:t>
      </w:r>
      <w:r>
        <w:t xml:space="preserve">in other systems may be applicable. The most common method used to control</w:t>
      </w:r>
      <w:r>
        <w:t xml:space="preserve"> </w:t>
      </w:r>
      <w:r>
        <w:rPr>
          <w:iCs/>
          <w:i/>
        </w:rPr>
        <w:t xml:space="preserve">Bervipalpus</w:t>
      </w:r>
      <w:r>
        <w:t xml:space="preserve"> </w:t>
      </w:r>
      <w:r>
        <w:t xml:space="preserve">are synthetic acaricides</w:t>
      </w:r>
      <w:r>
        <w:t xml:space="preserve"> </w:t>
      </w:r>
      <w:r>
        <w:t xml:space="preserve">(Andrade et al. 2010, 2019)</w:t>
      </w:r>
      <w:r>
        <w:t xml:space="preserve">. Unfortunately, some acaricides and their residues can harm beneficial predatory mites as well</w:t>
      </w:r>
      <w:r>
        <w:t xml:space="preserve"> </w:t>
      </w:r>
      <w:r>
        <w:t xml:space="preserve">(Fernández et al. 2017)</w:t>
      </w:r>
      <w:r>
        <w:t xml:space="preserve">, even at low doses</w:t>
      </w:r>
      <w:r>
        <w:t xml:space="preserve"> </w:t>
      </w:r>
      <w:r>
        <w:t xml:space="preserve">(Havasi et al. 2021)</w:t>
      </w:r>
      <w:r>
        <w:t xml:space="preserve">, and mixing different chemistries can be detrimental for mite control</w:t>
      </w:r>
      <w:r>
        <w:t xml:space="preserve"> </w:t>
      </w:r>
      <w:r>
        <w:t xml:space="preserve">(Vechia et al. 2018)</w:t>
      </w:r>
      <w:r>
        <w:t xml:space="preserve">. In addition, pesticide resistance has been reported in various</w:t>
      </w:r>
      <w:r>
        <w:t xml:space="preserve"> </w:t>
      </w:r>
      <w:r>
        <w:rPr>
          <w:iCs/>
          <w:i/>
        </w:rPr>
        <w:t xml:space="preserve">Brevipalpus</w:t>
      </w:r>
      <w:r>
        <w:t xml:space="preserve"> </w:t>
      </w:r>
      <w:r>
        <w:t xml:space="preserve">populations</w:t>
      </w:r>
      <w:r>
        <w:t xml:space="preserve"> </w:t>
      </w:r>
      <w:r>
        <w:t xml:space="preserve">(Alves et al. 2000, Omoto et al. 2000, Campos and Omoto 2002, Rocha et al. 2021)</w:t>
      </w:r>
      <w:r>
        <w:t xml:space="preserve">, due to exposure to pesticides used to control other arthropod pests</w:t>
      </w:r>
      <w:r>
        <w:t xml:space="preserve"> </w:t>
      </w:r>
      <w:r>
        <w:t xml:space="preserve">(Vechia et al. 2021)</w:t>
      </w:r>
      <w:r>
        <w:t xml:space="preserve">. In addition, predatory mites</w:t>
      </w:r>
      <w:r>
        <w:t xml:space="preserve"> </w:t>
      </w:r>
      <w:r>
        <w:t xml:space="preserve">(Chen et al. 2006, Argolo et al. 2020)</w:t>
      </w:r>
      <w:r>
        <w:t xml:space="preserve">, entomopathogenic fungi</w:t>
      </w:r>
      <w:r>
        <w:t xml:space="preserve"> </w:t>
      </w:r>
      <w:r>
        <w:t xml:space="preserve">(Magalhães et al. 2005, Rossi-Zalaf et al. 2008, Peña et al. 2015, Revynthi et al. 2019)</w:t>
      </w:r>
      <w:r>
        <w:t xml:space="preserve"> </w:t>
      </w:r>
      <w:r>
        <w:t xml:space="preserve">have shown promise for controlling other</w:t>
      </w:r>
      <w:r>
        <w:t xml:space="preserve"> </w:t>
      </w:r>
      <w:r>
        <w:rPr>
          <w:iCs/>
          <w:i/>
        </w:rPr>
        <w:t xml:space="preserve">Brevipalpus</w:t>
      </w:r>
      <w:r>
        <w:t xml:space="preserve"> </w:t>
      </w:r>
      <w:r>
        <w:t xml:space="preserve">mites. Moreover, it is often possible to integrate different control techniques for improved management, such as combining predatory mites with compatible acaricides and entomopathogenic fungi</w:t>
      </w:r>
      <w:r>
        <w:t xml:space="preserve"> </w:t>
      </w:r>
      <w:r>
        <w:t xml:space="preserve">(Reddy 2001, Midthassel et al. 2016, Andrade et al. 2019)</w:t>
      </w:r>
      <w:r>
        <w:t xml:space="preserve">.</w:t>
      </w:r>
    </w:p>
    <w:p>
      <w:pPr>
        <w:pStyle w:val="BodyText"/>
      </w:pPr>
      <w:r>
        <w:t xml:space="preserve">In conclusion,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cultivated</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almost eradicated by the mid-1960s</w:t>
      </w:r>
      <w:r>
        <w:t xml:space="preserve"> </w:t>
      </w:r>
      <w:r>
        <w:t xml:space="preserve">(Knorr 1968, Knorr et al. 1968, Childers et al. 2003)</w:t>
      </w:r>
      <w:r>
        <w:t xml:space="preserve">. An examination of herbarium specimens of Florida citrus found that this historical virus, Citrus leprosis dichorhavirus-N0, is distantly related to the modern strains of OFV</w:t>
      </w:r>
      <w:r>
        <w:t xml:space="preserve"> </w:t>
      </w:r>
      <w:r>
        <w:t xml:space="preserve">(Kitajima et al. 2011, Hartung et al. 2015, Roy et al. 2020)</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potential threat of different strains of OFV on citrus, which will be a definite concern to the US multi-billion-dollar citrus industry already impacted by the Huanglongbing disease.</w:t>
      </w:r>
      <w:r>
        <w:t xml:space="preserve"> </w:t>
      </w:r>
      <w:r>
        <w:rPr>
          <w:iCs/>
          <w:i/>
        </w:rPr>
        <w:t xml:space="preserve">B. californicus</w:t>
      </w:r>
      <w:r>
        <w:t xml:space="preserve">,</w:t>
      </w:r>
      <w:r>
        <w:t xml:space="preserve"> </w:t>
      </w:r>
      <w:r>
        <w:rPr>
          <w:iCs/>
          <w:i/>
        </w:rPr>
        <w:t xml:space="preserve">B. yothersi</w:t>
      </w:r>
      <w:r>
        <w:t xml:space="preserve">, and</w:t>
      </w:r>
      <w:r>
        <w:t xml:space="preserve"> </w:t>
      </w:r>
      <w:r>
        <w:rPr>
          <w:iCs/>
          <w:i/>
        </w:rPr>
        <w:t xml:space="preserve">B. obovatus</w:t>
      </w:r>
      <w:r>
        <w:t xml:space="preserve"> </w:t>
      </w:r>
      <w:r>
        <w:t xml:space="preserve">are all present in Florida</w:t>
      </w:r>
      <w:r>
        <w:t xml:space="preserve"> </w:t>
      </w:r>
      <w:r>
        <w:t xml:space="preserve">(Childers et al. 2003, Akyazi et al. 2017)</w:t>
      </w:r>
      <w:r>
        <w:t xml:space="preserve">, and are difficult to identify by non-experts, or without advanced methodologies. DNA barcoding</w:t>
      </w:r>
      <w:r>
        <w:t xml:space="preserve"> </w:t>
      </w:r>
      <w:r>
        <w:t xml:space="preserve">(Armstrong and Ball 2005)</w:t>
      </w:r>
      <w:r>
        <w:t xml:space="preserve"> </w:t>
      </w:r>
      <w:r>
        <w:t xml:space="preserve">or a similarly simple and accurate method for identification of these mite complexes is vital to identify mite populations which need to be monitored or controlled. By doing so, we can determine the risk OFV-Orc represents for the native plants, agriculture and the ornamental/landscaping industries of Florida and the surrounding regions.</w:t>
      </w:r>
    </w:p>
    <w:bookmarkEnd w:id="24"/>
    <w:bookmarkEnd w:id="25"/>
    <w:bookmarkStart w:id="26" w:name="acknowledgements"/>
    <w:p>
      <w:pPr>
        <w:pStyle w:val="Heading3"/>
      </w:pPr>
      <w:r>
        <w:t xml:space="preserve">Acknowledgements</w:t>
      </w:r>
    </w:p>
    <w:p>
      <w:pPr>
        <w:pStyle w:val="FirstParagraph"/>
      </w:pPr>
      <w:r>
        <w:t xml:space="preserve">We would like to give special thanks for the Tallahassee Museum and their patience, cooperation, and support with collecting plant samples. We are grateful for the USDA-APHIS PPQ Beltsville laboratory for their support in the identification and confirmation OFV strains, as well as</w:t>
      </w:r>
      <w:r>
        <w:t xml:space="preserve"> </w:t>
      </w:r>
      <w:r>
        <w:rPr>
          <w:iCs/>
          <w:i/>
        </w:rPr>
        <w:t xml:space="preserve">Brevipalpus</w:t>
      </w:r>
      <w:r>
        <w:t xml:space="preserve"> </w:t>
      </w:r>
      <w:r>
        <w:t xml:space="preserve">mite identification.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6"/>
    <w:bookmarkStart w:id="163" w:name="references"/>
    <w:p>
      <w:pPr>
        <w:pStyle w:val="Heading3"/>
      </w:pPr>
      <w:r>
        <w:t xml:space="preserve">References</w:t>
      </w:r>
    </w:p>
    <w:bookmarkStart w:id="162" w:name="refs"/>
    <w:bookmarkStart w:id="28"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 DOI:</w:t>
      </w:r>
      <w:hyperlink r:id="rId27">
        <w:r>
          <w:rPr>
            <w:rStyle w:val="Hyperlink"/>
          </w:rPr>
          <w:t xml:space="preserve">10.1653/024.100.0420</w:t>
        </w:r>
      </w:hyperlink>
      <w:r>
        <w:t xml:space="preserve">.</w:t>
      </w:r>
    </w:p>
    <w:bookmarkEnd w:id="28"/>
    <w:bookmarkStart w:id="30" w:name="ref-Alves2000"/>
    <w:p>
      <w:pPr>
        <w:pStyle w:val="Bibliography"/>
      </w:pPr>
      <w:r>
        <w:rPr>
          <w:bCs/>
          <w:b/>
        </w:rPr>
        <w:t xml:space="preserve">Alves, E. B., C. Omoto, and C. R. Franco</w:t>
      </w:r>
      <w:r>
        <w:t xml:space="preserve">.</w:t>
      </w:r>
      <w:r>
        <w:t xml:space="preserve"> </w:t>
      </w:r>
      <w:r>
        <w:rPr>
          <w:bCs/>
          <w:b/>
        </w:rPr>
        <w:t xml:space="preserve">2000</w:t>
      </w:r>
      <w:r>
        <w:t xml:space="preserve">. Resist</w:t>
      </w:r>
      <w:r>
        <w:t xml:space="preserve">ê</w:t>
      </w:r>
      <w:r>
        <w:t xml:space="preserve">ncia cruzada entre o dicofol e outros acaricidas em</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Anais da Sociedade Entomol</w:t>
      </w:r>
      <w:r>
        <w:t xml:space="preserve">ó</w:t>
      </w:r>
      <w:r>
        <w:t xml:space="preserve">gica do Brasil. 29: 765–771, DOI:</w:t>
      </w:r>
      <w:hyperlink r:id="rId29">
        <w:r>
          <w:rPr>
            <w:rStyle w:val="Hyperlink"/>
          </w:rPr>
          <w:t xml:space="preserve">10.1590/s0301-80592000000400017</w:t>
        </w:r>
      </w:hyperlink>
      <w:r>
        <w:t xml:space="preserve">.</w:t>
      </w:r>
    </w:p>
    <w:bookmarkEnd w:id="30"/>
    <w:bookmarkStart w:id="32"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 DOI:</w:t>
      </w:r>
      <w:hyperlink r:id="rId31">
        <w:r>
          <w:rPr>
            <w:rStyle w:val="Hyperlink"/>
          </w:rPr>
          <w:t xml:space="preserve">10.1007/s00705-019-04247-4</w:t>
        </w:r>
      </w:hyperlink>
      <w:r>
        <w:t xml:space="preserve">.</w:t>
      </w:r>
    </w:p>
    <w:bookmarkEnd w:id="32"/>
    <w:bookmarkStart w:id="34" w:name="ref-Andrade2010"/>
    <w:p>
      <w:pPr>
        <w:pStyle w:val="Bibliography"/>
      </w:pPr>
      <w:r>
        <w:rPr>
          <w:bCs/>
          <w:b/>
        </w:rPr>
        <w:t xml:space="preserve">Andrade, D. J. de, C. A. L. de Oliveira, F. C. Pattaro, and D. S. Siqueira</w:t>
      </w:r>
      <w:r>
        <w:t xml:space="preserve">.</w:t>
      </w:r>
      <w:r>
        <w:t xml:space="preserve"> </w:t>
      </w:r>
      <w:r>
        <w:rPr>
          <w:bCs/>
          <w:b/>
        </w:rPr>
        <w:t xml:space="preserve">2010</w:t>
      </w:r>
      <w:r>
        <w:t xml:space="preserve">. Acaricidas utilizados na citricultura convencional e org</w:t>
      </w:r>
      <w:r>
        <w:t xml:space="preserve">â</w:t>
      </w:r>
      <w:r>
        <w:t xml:space="preserve">nica: Manejo da leprose e popula</w:t>
      </w:r>
      <w:r>
        <w:t xml:space="preserve">ç</w:t>
      </w:r>
      <w:r>
        <w:t xml:space="preserve">õ</w:t>
      </w:r>
      <w:r>
        <w:t xml:space="preserve">es de</w:t>
      </w:r>
      <w:r>
        <w:t xml:space="preserve"> </w:t>
      </w:r>
      <w:r>
        <w:t xml:space="preserve">á</w:t>
      </w:r>
      <w:r>
        <w:t xml:space="preserve">caros fitose</w:t>
      </w:r>
      <w:r>
        <w:t xml:space="preserve">í</w:t>
      </w:r>
      <w:r>
        <w:t xml:space="preserve">deos. Revista Brasileira de Fruticultura. 32: 1028–1037, DOI:</w:t>
      </w:r>
      <w:hyperlink r:id="rId33">
        <w:r>
          <w:rPr>
            <w:rStyle w:val="Hyperlink"/>
          </w:rPr>
          <w:t xml:space="preserve">10.1590/s0100-29452011005000013</w:t>
        </w:r>
      </w:hyperlink>
      <w:r>
        <w:t xml:space="preserve">.</w:t>
      </w:r>
    </w:p>
    <w:bookmarkEnd w:id="34"/>
    <w:bookmarkStart w:id="36" w:name="ref-Andrade2019"/>
    <w:p>
      <w:pPr>
        <w:pStyle w:val="Bibliography"/>
      </w:pPr>
      <w:r>
        <w:rPr>
          <w:bCs/>
          <w:b/>
        </w:rPr>
        <w:t xml:space="preserve">Andrade, D. J. de, E. B. Ribeiro, M. R. de Morais, and O. Z. Zanardi</w:t>
      </w:r>
      <w:r>
        <w:t xml:space="preserve">.</w:t>
      </w:r>
      <w:r>
        <w:t xml:space="preserve"> </w:t>
      </w:r>
      <w:r>
        <w:rPr>
          <w:bCs/>
          <w:b/>
        </w:rPr>
        <w:t xml:space="preserve">2019</w:t>
      </w:r>
      <w:r>
        <w:t xml:space="preserve">. Bioactivity of an oxymatrine-based commercial formulation against</w:t>
      </w:r>
      <w:r>
        <w:t xml:space="preserve"> </w:t>
      </w:r>
      <w:r>
        <w:rPr>
          <w:iCs/>
          <w:i/>
        </w:rPr>
        <w:t xml:space="preserve">Brevipalpus yothersi</w:t>
      </w:r>
      <w:r>
        <w:t xml:space="preserve"> </w:t>
      </w:r>
      <w:r>
        <w:t xml:space="preserve">Baker</w:t>
      </w:r>
      <w:r>
        <w:t xml:space="preserve"> </w:t>
      </w:r>
      <w:r>
        <w:t xml:space="preserve">and its effects on predatory mites in citrus groves. Ecotoxicology and Environmental Safety. 176: 339–345, DOI:</w:t>
      </w:r>
      <w:hyperlink r:id="rId35">
        <w:r>
          <w:rPr>
            <w:rStyle w:val="Hyperlink"/>
          </w:rPr>
          <w:t xml:space="preserve">10.1016/j.ecoenv.2019.03.118</w:t>
        </w:r>
      </w:hyperlink>
      <w:r>
        <w:t xml:space="preserve">.</w:t>
      </w:r>
    </w:p>
    <w:bookmarkEnd w:id="36"/>
    <w:bookmarkStart w:id="38" w:name="ref-Argolo2020"/>
    <w:p>
      <w:pPr>
        <w:pStyle w:val="Bibliography"/>
      </w:pPr>
      <w:r>
        <w:rPr>
          <w:bCs/>
          <w:b/>
        </w:rPr>
        <w:t xml:space="preserve">Argolo, P. S., A. M. Revynthi, M. A. Canon, M. M. Berto, D. J. Andrade, İ. Döker, A. Roda, and D. Carrillo</w:t>
      </w:r>
      <w:r>
        <w:t xml:space="preserve">.</w:t>
      </w:r>
      <w:r>
        <w:t xml:space="preserve"> </w:t>
      </w:r>
      <w:r>
        <w:rPr>
          <w:bCs/>
          <w:b/>
        </w:rPr>
        <w:t xml:space="preserve">2020</w:t>
      </w:r>
      <w:r>
        <w:t xml:space="preserve">. Potential of predatory mites for biological control of</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Biological Control. 149: 104330, DOI:</w:t>
      </w:r>
      <w:hyperlink r:id="rId37">
        <w:r>
          <w:rPr>
            <w:rStyle w:val="Hyperlink"/>
          </w:rPr>
          <w:t xml:space="preserve">10.1016/j.biocontrol.2020.104330</w:t>
        </w:r>
      </w:hyperlink>
      <w:r>
        <w:t xml:space="preserve">.</w:t>
      </w:r>
    </w:p>
    <w:bookmarkEnd w:id="38"/>
    <w:bookmarkStart w:id="40" w:name="ref-Armstrong2005"/>
    <w:p>
      <w:pPr>
        <w:pStyle w:val="Bibliography"/>
      </w:pPr>
      <w:r>
        <w:rPr>
          <w:bCs/>
          <w:b/>
        </w:rPr>
        <w:t xml:space="preserve">Armstrong, K. F., and S. L. Ball</w:t>
      </w:r>
      <w:r>
        <w:t xml:space="preserve">.</w:t>
      </w:r>
      <w:r>
        <w:t xml:space="preserve"> </w:t>
      </w:r>
      <w:r>
        <w:rPr>
          <w:bCs/>
          <w:b/>
        </w:rPr>
        <w:t xml:space="preserve">2005</w:t>
      </w:r>
      <w:r>
        <w:t xml:space="preserve">.</w:t>
      </w:r>
      <w:r>
        <w:t xml:space="preserve"> </w:t>
      </w:r>
      <w:r>
        <w:t xml:space="preserve">DNA</w:t>
      </w:r>
      <w:r>
        <w:t xml:space="preserve"> </w:t>
      </w:r>
      <w:r>
        <w:t xml:space="preserve">barcodes for biosecurity: Invasive species identification. Philosophical Transactions of the Royal Society B: Biological Sciences. 360: 1813–1823, DOI:</w:t>
      </w:r>
      <w:hyperlink r:id="rId39">
        <w:r>
          <w:rPr>
            <w:rStyle w:val="Hyperlink"/>
          </w:rPr>
          <w:t xml:space="preserve">10.1098/rstb.2005.1713</w:t>
        </w:r>
      </w:hyperlink>
      <w:r>
        <w:t xml:space="preserve">.</w:t>
      </w:r>
    </w:p>
    <w:bookmarkEnd w:id="40"/>
    <w:bookmarkStart w:id="42" w:name="ref-Arthur2011"/>
    <w:p>
      <w:pPr>
        <w:pStyle w:val="Bibliography"/>
      </w:pPr>
      <w:r>
        <w:rPr>
          <w:bCs/>
          <w:b/>
        </w:rPr>
        <w:t xml:space="preserve">Arthur, A. L., A. D. Miller, and A. R. Weeks</w:t>
      </w:r>
      <w:r>
        <w:t xml:space="preserve">.</w:t>
      </w:r>
      <w:r>
        <w:t xml:space="preserve"> </w:t>
      </w:r>
      <w:r>
        <w:rPr>
          <w:bCs/>
          <w:b/>
        </w:rPr>
        <w:t xml:space="preserve">2011</w:t>
      </w:r>
      <w:r>
        <w:t xml:space="preserve">. Genetic markers indicate a new species complex of emerging pest mites in</w:t>
      </w:r>
      <w:r>
        <w:t xml:space="preserve"> </w:t>
      </w:r>
      <w:r>
        <w:t xml:space="preserve">Australian</w:t>
      </w:r>
      <w:r>
        <w:t xml:space="preserve"> </w:t>
      </w:r>
      <w:r>
        <w:t xml:space="preserve">grains. Annals of the Entomological Society of America. 104: 402–415, DOI:</w:t>
      </w:r>
      <w:hyperlink r:id="rId41">
        <w:r>
          <w:rPr>
            <w:rStyle w:val="Hyperlink"/>
          </w:rPr>
          <w:t xml:space="preserve">10.1603/an10065</w:t>
        </w:r>
      </w:hyperlink>
      <w:r>
        <w:t xml:space="preserve">.</w:t>
      </w:r>
    </w:p>
    <w:bookmarkEnd w:id="42"/>
    <w:bookmarkStart w:id="44" w:name="ref-Baker1949"/>
    <w:p>
      <w:pPr>
        <w:pStyle w:val="Bibliography"/>
      </w:pPr>
      <w:r>
        <w:rPr>
          <w:bCs/>
          <w:b/>
        </w:rPr>
        <w:t xml:space="preserve">Baker, E. W.</w:t>
      </w:r>
      <w:r>
        <w:t xml:space="preserve"> </w:t>
      </w:r>
      <w:r>
        <w:rPr>
          <w:bCs/>
          <w:b/>
        </w:rPr>
        <w:t xml:space="preserve">1949</w:t>
      </w:r>
      <w:r>
        <w:t xml:space="preserve">. The genus</w:t>
      </w:r>
      <w:r>
        <w:t xml:space="preserve"> </w:t>
      </w:r>
      <w:r>
        <w:rPr>
          <w:iCs/>
          <w:i/>
        </w:rPr>
        <w:t xml:space="preserve">Brevipalpus</w:t>
      </w:r>
      <w:r>
        <w:t xml:space="preserve"> </w:t>
      </w:r>
      <w:r>
        <w:t xml:space="preserve">(</w:t>
      </w:r>
      <w:r>
        <w:t xml:space="preserve">Acarina</w:t>
      </w:r>
      <w:r>
        <w:t xml:space="preserve">:</w:t>
      </w:r>
      <w:r>
        <w:t xml:space="preserve"> </w:t>
      </w:r>
      <w:r>
        <w:t xml:space="preserve">Pseudoleptidae</w:t>
      </w:r>
      <w:r>
        <w:t xml:space="preserve">). American Midland Naturalist. 42: 350, DOI:</w:t>
      </w:r>
      <w:hyperlink r:id="rId43">
        <w:r>
          <w:rPr>
            <w:rStyle w:val="Hyperlink"/>
          </w:rPr>
          <w:t xml:space="preserve">10.2307/2422013</w:t>
        </w:r>
      </w:hyperlink>
      <w:r>
        <w:t xml:space="preserve">.</w:t>
      </w:r>
    </w:p>
    <w:bookmarkEnd w:id="44"/>
    <w:bookmarkStart w:id="45"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45"/>
    <w:bookmarkStart w:id="47"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 DOI:</w:t>
      </w:r>
      <w:hyperlink r:id="rId46">
        <w:r>
          <w:rPr>
            <w:rStyle w:val="Hyperlink"/>
          </w:rPr>
          <w:t xml:space="preserve">10.11646/zootaxa.3944.1.1</w:t>
        </w:r>
      </w:hyperlink>
      <w:r>
        <w:t xml:space="preserve">.</w:t>
      </w:r>
    </w:p>
    <w:bookmarkEnd w:id="47"/>
    <w:bookmarkStart w:id="49"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 DOI:</w:t>
      </w:r>
      <w:hyperlink r:id="rId48">
        <w:r>
          <w:rPr>
            <w:rStyle w:val="Hyperlink"/>
          </w:rPr>
          <w:t xml:space="preserve">10.1093/jee/toaa007</w:t>
        </w:r>
      </w:hyperlink>
      <w:r>
        <w:t xml:space="preserve">.</w:t>
      </w:r>
    </w:p>
    <w:bookmarkEnd w:id="49"/>
    <w:bookmarkStart w:id="51"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 DOI:</w:t>
      </w:r>
      <w:hyperlink r:id="rId50">
        <w:r>
          <w:rPr>
            <w:rStyle w:val="Hyperlink"/>
          </w:rPr>
          <w:t xml:space="preserve">10.1094/php-br-15-0018</w:t>
        </w:r>
      </w:hyperlink>
      <w:r>
        <w:t xml:space="preserve">.</w:t>
      </w:r>
    </w:p>
    <w:bookmarkEnd w:id="51"/>
    <w:bookmarkStart w:id="52"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52"/>
    <w:bookmarkStart w:id="54" w:name="ref-Campos2002"/>
    <w:p>
      <w:pPr>
        <w:pStyle w:val="Bibliography"/>
      </w:pPr>
      <w:r>
        <w:rPr>
          <w:bCs/>
          <w:b/>
        </w:rPr>
        <w:t xml:space="preserve">Campos, F. J., and C. Omoto</w:t>
      </w:r>
      <w:r>
        <w:t xml:space="preserve">.</w:t>
      </w:r>
      <w:r>
        <w:t xml:space="preserve"> </w:t>
      </w:r>
      <w:r>
        <w:rPr>
          <w:bCs/>
          <w:b/>
        </w:rPr>
        <w:t xml:space="preserve">2002</w:t>
      </w:r>
      <w:r>
        <w:t xml:space="preserve">. Resistance to hexythiazox in</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from</w:t>
      </w:r>
      <w:r>
        <w:t xml:space="preserve"> </w:t>
      </w:r>
      <w:r>
        <w:t xml:space="preserve">Brazilian</w:t>
      </w:r>
      <w:r>
        <w:t xml:space="preserve"> </w:t>
      </w:r>
      <w:r>
        <w:t xml:space="preserve">citrus. Experimental and Applied Acarology. 26: 243–251, DOI:</w:t>
      </w:r>
      <w:hyperlink r:id="rId53">
        <w:r>
          <w:rPr>
            <w:rStyle w:val="Hyperlink"/>
          </w:rPr>
          <w:t xml:space="preserve">10.1023/a:1021103209193</w:t>
        </w:r>
      </w:hyperlink>
      <w:r>
        <w:t xml:space="preserve">.</w:t>
      </w:r>
    </w:p>
    <w:bookmarkEnd w:id="54"/>
    <w:bookmarkStart w:id="56"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 DOI:</w:t>
      </w:r>
      <w:hyperlink r:id="rId55">
        <w:r>
          <w:rPr>
            <w:rStyle w:val="Hyperlink"/>
          </w:rPr>
          <w:t xml:space="preserve">10.32473/edis-hs1348-2019</w:t>
        </w:r>
      </w:hyperlink>
      <w:r>
        <w:t xml:space="preserve">.</w:t>
      </w:r>
    </w:p>
    <w:bookmarkEnd w:id="56"/>
    <w:bookmarkStart w:id="58"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 DOI:</w:t>
      </w:r>
      <w:hyperlink r:id="rId57">
        <w:r>
          <w:rPr>
            <w:rStyle w:val="Hyperlink"/>
          </w:rPr>
          <w:t xml:space="preserve">10.3186/jjphytopath.42.156</w:t>
        </w:r>
      </w:hyperlink>
      <w:r>
        <w:t xml:space="preserve">.</w:t>
      </w:r>
    </w:p>
    <w:bookmarkEnd w:id="58"/>
    <w:bookmarkStart w:id="60"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 DOI:</w:t>
      </w:r>
      <w:hyperlink r:id="rId59">
        <w:r>
          <w:rPr>
            <w:rStyle w:val="Hyperlink"/>
          </w:rPr>
          <w:t xml:space="preserve">10.1111/j.1095-8339.2009.00999.x</w:t>
        </w:r>
      </w:hyperlink>
      <w:r>
        <w:t xml:space="preserve">.</w:t>
      </w:r>
    </w:p>
    <w:bookmarkEnd w:id="60"/>
    <w:bookmarkStart w:id="62" w:name="ref-Chen2006"/>
    <w:p>
      <w:pPr>
        <w:pStyle w:val="Bibliography"/>
      </w:pPr>
      <w:r>
        <w:rPr>
          <w:bCs/>
          <w:b/>
        </w:rPr>
        <w:t xml:space="preserve">Chen, T.-Y., J. V. French, T.-X. Liu, and J. V. da Graça</w:t>
      </w:r>
      <w:r>
        <w:t xml:space="preserve">.</w:t>
      </w:r>
      <w:r>
        <w:t xml:space="preserve"> </w:t>
      </w:r>
      <w:r>
        <w:rPr>
          <w:bCs/>
          <w:b/>
        </w:rPr>
        <w:t xml:space="preserve">2006</w:t>
      </w:r>
      <w:r>
        <w:t xml:space="preserve">. Predation of</w:t>
      </w:r>
      <w:r>
        <w:t xml:space="preserve"> </w:t>
      </w:r>
      <w:r>
        <w:rPr>
          <w:iCs/>
          <w:i/>
        </w:rPr>
        <w:t xml:space="preserve">Galendromus helveolus</w:t>
      </w:r>
      <w:r>
        <w:t xml:space="preserve"> </w:t>
      </w:r>
      <w:r>
        <w:t xml:space="preserve">(</w:t>
      </w:r>
      <w:r>
        <w:t xml:space="preserve">Acari</w:t>
      </w:r>
      <w:r>
        <w:t xml:space="preserve">:</w:t>
      </w:r>
      <w:r>
        <w:t xml:space="preserve"> </w:t>
      </w:r>
      <w:r>
        <w:t xml:space="preserve">Phytoseiidae</w:t>
      </w:r>
      <w:r>
        <w:t xml:space="preserve">) on</w:t>
      </w:r>
      <w:r>
        <w:t xml:space="preserve"> </w:t>
      </w:r>
      <w:r>
        <w:rPr>
          <w:iCs/>
          <w:i/>
        </w:rPr>
        <w:t xml:space="preserve">Brevipalpus californicus</w:t>
      </w:r>
      <w:r>
        <w:t xml:space="preserve"> </w:t>
      </w:r>
      <w:r>
        <w:t xml:space="preserve">(</w:t>
      </w:r>
      <w:r>
        <w:t xml:space="preserve">Acari</w:t>
      </w:r>
      <w:r>
        <w:t xml:space="preserve">:</w:t>
      </w:r>
      <w:r>
        <w:t xml:space="preserve"> </w:t>
      </w:r>
      <w:r>
        <w:t xml:space="preserve">Tenuipalpidae</w:t>
      </w:r>
      <w:r>
        <w:t xml:space="preserve">). Biocontrol Science and Technology. 16: 753–759, DOI:</w:t>
      </w:r>
      <w:hyperlink r:id="rId61">
        <w:r>
          <w:rPr>
            <w:rStyle w:val="Hyperlink"/>
          </w:rPr>
          <w:t xml:space="preserve">10.1080/09583150600700172</w:t>
        </w:r>
      </w:hyperlink>
      <w:r>
        <w:t xml:space="preserve">.</w:t>
      </w:r>
    </w:p>
    <w:bookmarkEnd w:id="62"/>
    <w:bookmarkStart w:id="64"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 DOI:</w:t>
      </w:r>
      <w:hyperlink r:id="rId63">
        <w:r>
          <w:rPr>
            <w:rStyle w:val="Hyperlink"/>
          </w:rPr>
          <w:t xml:space="preserve">10.11646/zoosymposia.6.1.28</w:t>
        </w:r>
      </w:hyperlink>
      <w:r>
        <w:t xml:space="preserve">.</w:t>
      </w:r>
    </w:p>
    <w:bookmarkEnd w:id="64"/>
    <w:bookmarkStart w:id="66"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 DOI:</w:t>
      </w:r>
      <w:hyperlink r:id="rId65">
        <w:r>
          <w:rPr>
            <w:rStyle w:val="Hyperlink"/>
          </w:rPr>
          <w:t xml:space="preserve">10.1023/b:appa.0000006548.01625.72</w:t>
        </w:r>
      </w:hyperlink>
      <w:r>
        <w:t xml:space="preserve">.</w:t>
      </w:r>
    </w:p>
    <w:bookmarkEnd w:id="66"/>
    <w:bookmarkStart w:id="68"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 DOI:</w:t>
      </w:r>
      <w:hyperlink r:id="rId67">
        <w:r>
          <w:rPr>
            <w:rStyle w:val="Hyperlink"/>
          </w:rPr>
          <w:t xml:space="preserve">10.1007/s10658-019-01854-4</w:t>
        </w:r>
      </w:hyperlink>
      <w:r>
        <w:t xml:space="preserve">.</w:t>
      </w:r>
    </w:p>
    <w:bookmarkEnd w:id="68"/>
    <w:bookmarkStart w:id="69"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69"/>
    <w:bookmarkStart w:id="71"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 DOI:</w:t>
      </w:r>
      <w:hyperlink r:id="rId70">
        <w:r>
          <w:rPr>
            <w:rStyle w:val="Hyperlink"/>
          </w:rPr>
          <w:t xml:space="preserve">10.1007/s00705-013-1834-0</w:t>
        </w:r>
      </w:hyperlink>
      <w:r>
        <w:t xml:space="preserve">.</w:t>
      </w:r>
    </w:p>
    <w:bookmarkEnd w:id="71"/>
    <w:bookmarkStart w:id="73"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 DOI:</w:t>
      </w:r>
      <w:hyperlink r:id="rId72">
        <w:r>
          <w:rPr>
            <w:rStyle w:val="Hyperlink"/>
          </w:rPr>
          <w:t xml:space="preserve">10.1007/s13314-018-0295-4</w:t>
        </w:r>
      </w:hyperlink>
      <w:r>
        <w:t xml:space="preserve">.</w:t>
      </w:r>
    </w:p>
    <w:bookmarkEnd w:id="73"/>
    <w:bookmarkStart w:id="74"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74"/>
    <w:bookmarkStart w:id="76"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 DOI:</w:t>
      </w:r>
      <w:hyperlink r:id="rId75">
        <w:r>
          <w:rPr>
            <w:rStyle w:val="Hyperlink"/>
          </w:rPr>
          <w:t xml:space="preserve">10.21273/horttech.18.3.343</w:t>
        </w:r>
      </w:hyperlink>
      <w:r>
        <w:t xml:space="preserve">.</w:t>
      </w:r>
    </w:p>
    <w:bookmarkEnd w:id="76"/>
    <w:bookmarkStart w:id="78"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 DOI:</w:t>
      </w:r>
      <w:hyperlink r:id="rId77">
        <w:r>
          <w:rPr>
            <w:rStyle w:val="Hyperlink"/>
          </w:rPr>
          <w:t xml:space="preserve">10.21273/hortsci.19.2.385</w:t>
        </w:r>
      </w:hyperlink>
      <w:r>
        <w:t xml:space="preserve">.</w:t>
      </w:r>
    </w:p>
    <w:bookmarkEnd w:id="78"/>
    <w:bookmarkStart w:id="80"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 DOI:</w:t>
      </w:r>
      <w:hyperlink r:id="rId79">
        <w:r>
          <w:rPr>
            <w:rStyle w:val="Hyperlink"/>
          </w:rPr>
          <w:t xml:space="preserve">10.21273/hortsci.50.7.957</w:t>
        </w:r>
      </w:hyperlink>
      <w:r>
        <w:t xml:space="preserve">.</w:t>
      </w:r>
    </w:p>
    <w:bookmarkEnd w:id="80"/>
    <w:bookmarkStart w:id="82" w:name="ref-Fernandez2017"/>
    <w:p>
      <w:pPr>
        <w:pStyle w:val="Bibliography"/>
      </w:pPr>
      <w:r>
        <w:rPr>
          <w:bCs/>
          <w:b/>
        </w:rPr>
        <w:t xml:space="preserve">Fernández, M. M., P. Medina, A. Wanumen, P. Del Estal, G. Smagghe, and E. Viñuela</w:t>
      </w:r>
      <w:r>
        <w:t xml:space="preserve">.</w:t>
      </w:r>
      <w:r>
        <w:t xml:space="preserve"> </w:t>
      </w:r>
      <w:r>
        <w:rPr>
          <w:bCs/>
          <w:b/>
        </w:rPr>
        <w:t xml:space="preserve">2017</w:t>
      </w:r>
      <w:r>
        <w:t xml:space="preserve">. Compatibility of sulfoxaflor and other modern pesticides with adults of the predatory mite</w:t>
      </w:r>
      <w:r>
        <w:t xml:space="preserve"> </w:t>
      </w:r>
      <w:r>
        <w:rPr>
          <w:iCs/>
          <w:i/>
        </w:rPr>
        <w:t xml:space="preserve">Amblyseius swirskii</w:t>
      </w:r>
      <w:r>
        <w:t xml:space="preserve">. Residual contact and persistence studies.</w:t>
      </w:r>
      <w:r>
        <w:t xml:space="preserve"> </w:t>
      </w:r>
      <w:r>
        <w:t xml:space="preserve">BioControl</w:t>
      </w:r>
      <w:r>
        <w:t xml:space="preserve">. 62: 197–208, DOI:</w:t>
      </w:r>
      <w:hyperlink r:id="rId81">
        <w:r>
          <w:rPr>
            <w:rStyle w:val="Hyperlink"/>
          </w:rPr>
          <w:t xml:space="preserve">10.1007/s10526-017-9784-1</w:t>
        </w:r>
      </w:hyperlink>
      <w:r>
        <w:t xml:space="preserve">.</w:t>
      </w:r>
    </w:p>
    <w:bookmarkEnd w:id="82"/>
    <w:bookmarkStart w:id="84"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 DOI:</w:t>
      </w:r>
      <w:hyperlink r:id="rId83">
        <w:r>
          <w:rPr>
            <w:rStyle w:val="Hyperlink"/>
          </w:rPr>
          <w:t xml:space="preserve">10.1094/phyto-03-15-0064-r</w:t>
        </w:r>
      </w:hyperlink>
      <w:r>
        <w:t xml:space="preserve">.</w:t>
      </w:r>
    </w:p>
    <w:bookmarkEnd w:id="84"/>
    <w:bookmarkStart w:id="86" w:name="ref-Havasi2021"/>
    <w:p>
      <w:pPr>
        <w:pStyle w:val="Bibliography"/>
      </w:pPr>
      <w:r>
        <w:rPr>
          <w:bCs/>
          <w:b/>
        </w:rPr>
        <w:t xml:space="preserve">Havasi, M., A. Alsendi, N. S. S. Bozhgani, K. Kheradmand, and R. Sadeghi</w:t>
      </w:r>
      <w:r>
        <w:t xml:space="preserve">.</w:t>
      </w:r>
      <w:r>
        <w:t xml:space="preserve"> </w:t>
      </w:r>
      <w:r>
        <w:rPr>
          <w:bCs/>
          <w:b/>
        </w:rPr>
        <w:t xml:space="preserve">2021</w:t>
      </w:r>
      <w:r>
        <w:t xml:space="preserve">. The effects of bifenazate on life history traits and population growth of</w:t>
      </w:r>
      <w:r>
        <w:t xml:space="preserve"> </w:t>
      </w:r>
      <w:r>
        <w:rPr>
          <w:iCs/>
          <w:i/>
        </w:rPr>
        <w:t xml:space="preserve">Amblyseius swirskii</w:t>
      </w:r>
      <w:r>
        <w:t xml:space="preserve"> </w:t>
      </w:r>
      <w:r>
        <w:t xml:space="preserve">Athias-Henriot</w:t>
      </w:r>
      <w:r>
        <w:t xml:space="preserve"> </w:t>
      </w:r>
      <w:r>
        <w:t xml:space="preserve">(</w:t>
      </w:r>
      <w:r>
        <w:t xml:space="preserve">Acari</w:t>
      </w:r>
      <w:r>
        <w:t xml:space="preserve">:</w:t>
      </w:r>
      <w:r>
        <w:t xml:space="preserve"> </w:t>
      </w:r>
      <w:r>
        <w:t xml:space="preserve">Phytoseiidae</w:t>
      </w:r>
      <w:r>
        <w:t xml:space="preserve">). Systematic and Applied Acarology. 26: 610–623, DOI:</w:t>
      </w:r>
      <w:hyperlink r:id="rId85">
        <w:r>
          <w:rPr>
            <w:rStyle w:val="Hyperlink"/>
          </w:rPr>
          <w:t xml:space="preserve">10.11158/saa.26.3.10</w:t>
        </w:r>
      </w:hyperlink>
      <w:r>
        <w:t xml:space="preserve">.</w:t>
      </w:r>
    </w:p>
    <w:bookmarkEnd w:id="86"/>
    <w:bookmarkStart w:id="88"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 DOI:</w:t>
      </w:r>
      <w:hyperlink r:id="rId87">
        <w:r>
          <w:rPr>
            <w:rStyle w:val="Hyperlink"/>
          </w:rPr>
          <w:t xml:space="preserve">10.17525/vrr.v16i1-2.51</w:t>
        </w:r>
      </w:hyperlink>
      <w:r>
        <w:t xml:space="preserve">.</w:t>
      </w:r>
    </w:p>
    <w:bookmarkEnd w:id="88"/>
    <w:bookmarkStart w:id="90"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 DOI:</w:t>
      </w:r>
      <w:hyperlink r:id="rId89">
        <w:r>
          <w:rPr>
            <w:rStyle w:val="Hyperlink"/>
          </w:rPr>
          <w:t xml:space="preserve">10.1590/s0103-90162010000300014</w:t>
        </w:r>
      </w:hyperlink>
      <w:r>
        <w:t xml:space="preserve">.</w:t>
      </w:r>
    </w:p>
    <w:bookmarkEnd w:id="90"/>
    <w:bookmarkStart w:id="91" w:name="ref-Knorr1968a"/>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91"/>
    <w:bookmarkStart w:id="93" w:name="ref-Knorr1968b"/>
    <w:p>
      <w:pPr>
        <w:pStyle w:val="Bibliography"/>
      </w:pPr>
      <w:r>
        <w:rPr>
          <w:bCs/>
          <w:b/>
        </w:rPr>
        <w:t xml:space="preserve">Knorr, L. C., H. A. Denmark, and H. C. Burnett</w:t>
      </w:r>
      <w:r>
        <w:t xml:space="preserve">.</w:t>
      </w:r>
      <w:r>
        <w:t xml:space="preserve"> </w:t>
      </w:r>
      <w:r>
        <w:rPr>
          <w:bCs/>
          <w:b/>
        </w:rPr>
        <w:t xml:space="preserve">1968</w:t>
      </w:r>
      <w:r>
        <w:t xml:space="preserve">. Occurrence of</w:t>
      </w:r>
      <w:r>
        <w:t xml:space="preserve"> </w:t>
      </w:r>
      <w:r>
        <w:rPr>
          <w:iCs/>
          <w:i/>
        </w:rPr>
        <w:t xml:space="preserve">Brevipalpus</w:t>
      </w:r>
      <w:r>
        <w:t xml:space="preserve"> </w:t>
      </w:r>
      <w:r>
        <w:t xml:space="preserve">mites, leprosis, and false leprosis on citrus in</w:t>
      </w:r>
      <w:r>
        <w:t xml:space="preserve"> </w:t>
      </w:r>
      <w:r>
        <w:t xml:space="preserve">Florida</w:t>
      </w:r>
      <w:r>
        <w:t xml:space="preserve">. The Florida Entomologist. 51: 11, DOI:</w:t>
      </w:r>
      <w:hyperlink r:id="rId92">
        <w:r>
          <w:rPr>
            <w:rStyle w:val="Hyperlink"/>
          </w:rPr>
          <w:t xml:space="preserve">10.2307/3493667</w:t>
        </w:r>
      </w:hyperlink>
      <w:r>
        <w:t xml:space="preserve">.</w:t>
      </w:r>
    </w:p>
    <w:bookmarkEnd w:id="93"/>
    <w:bookmarkStart w:id="95"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 DOI:</w:t>
      </w:r>
      <w:hyperlink r:id="rId94">
        <w:r>
          <w:rPr>
            <w:rStyle w:val="Hyperlink"/>
          </w:rPr>
          <w:t xml:space="preserve">10.17660/actahortic.1985.164.27</w:t>
        </w:r>
      </w:hyperlink>
      <w:r>
        <w:t xml:space="preserve">.</w:t>
      </w:r>
    </w:p>
    <w:bookmarkEnd w:id="95"/>
    <w:bookmarkStart w:id="97"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 DOI:</w:t>
      </w:r>
      <w:hyperlink r:id="rId96">
        <w:r>
          <w:rPr>
            <w:rStyle w:val="Hyperlink"/>
          </w:rPr>
          <w:t xml:space="preserve">10.1016/j.virol.2017.04.027</w:t>
        </w:r>
      </w:hyperlink>
      <w:r>
        <w:t xml:space="preserve">.</w:t>
      </w:r>
    </w:p>
    <w:bookmarkEnd w:id="97"/>
    <w:bookmarkStart w:id="99"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 DOI:</w:t>
      </w:r>
      <w:hyperlink r:id="rId98">
        <w:r>
          <w:rPr>
            <w:rStyle w:val="Hyperlink"/>
          </w:rPr>
          <w:t xml:space="preserve">10.1099/vir.0.81811-0</w:t>
        </w:r>
      </w:hyperlink>
      <w:r>
        <w:t xml:space="preserve">.</w:t>
      </w:r>
    </w:p>
    <w:bookmarkEnd w:id="99"/>
    <w:bookmarkStart w:id="101"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 DOI:</w:t>
      </w:r>
      <w:hyperlink r:id="rId100">
        <w:r>
          <w:rPr>
            <w:rStyle w:val="Hyperlink"/>
          </w:rPr>
          <w:t xml:space="preserve">10.1023/b:appa.0000006550.88615.10</w:t>
        </w:r>
      </w:hyperlink>
      <w:r>
        <w:t xml:space="preserve">.</w:t>
      </w:r>
    </w:p>
    <w:bookmarkEnd w:id="101"/>
    <w:bookmarkStart w:id="103" w:name="ref-Kubo2009b"/>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 DOI:</w:t>
      </w:r>
      <w:hyperlink r:id="rId102">
        <w:r>
          <w:rPr>
            <w:rStyle w:val="Hyperlink"/>
          </w:rPr>
          <w:t xml:space="preserve">10.1007/s10327-009-0167-z</w:t>
        </w:r>
      </w:hyperlink>
      <w:r>
        <w:t xml:space="preserve">.</w:t>
      </w:r>
    </w:p>
    <w:bookmarkEnd w:id="103"/>
    <w:bookmarkStart w:id="105" w:name="ref-Kubo2009a"/>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 DOI:</w:t>
      </w:r>
      <w:hyperlink r:id="rId104">
        <w:r>
          <w:rPr>
            <w:rStyle w:val="Hyperlink"/>
          </w:rPr>
          <w:t xml:space="preserve">10.1007/s00705-009-0395-8</w:t>
        </w:r>
      </w:hyperlink>
      <w:r>
        <w:t xml:space="preserve">.</w:t>
      </w:r>
    </w:p>
    <w:bookmarkEnd w:id="105"/>
    <w:bookmarkStart w:id="106"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106"/>
    <w:bookmarkStart w:id="108" w:name="ref-Magalhaes2005"/>
    <w:p>
      <w:pPr>
        <w:pStyle w:val="Bibliography"/>
      </w:pPr>
      <w:r>
        <w:rPr>
          <w:bCs/>
          <w:b/>
        </w:rPr>
        <w:t xml:space="preserve">Magalhães, B. P., J. C. V. Rodrigues, D. G. Boucias, and C. C. Childers</w:t>
      </w:r>
      <w:r>
        <w:t xml:space="preserve">.</w:t>
      </w:r>
      <w:r>
        <w:t xml:space="preserve"> </w:t>
      </w:r>
      <w:r>
        <w:rPr>
          <w:bCs/>
          <w:b/>
        </w:rPr>
        <w:t xml:space="preserve">2005</w:t>
      </w:r>
      <w:r>
        <w:t xml:space="preserve">. Pathogenicity of</w:t>
      </w:r>
      <w:r>
        <w:t xml:space="preserve"> </w:t>
      </w:r>
      <w:r>
        <w:rPr>
          <w:iCs/>
          <w:i/>
        </w:rPr>
        <w:t xml:space="preserve">Metarhizium anisopliae</w:t>
      </w:r>
      <w:r>
        <w:t xml:space="preserve"> </w:t>
      </w:r>
      <w:r>
        <w:t xml:space="preserve">var. Acridum to the false spider mite</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Florida Entomologist. 88: 195–198, DOI:</w:t>
      </w:r>
      <w:hyperlink r:id="rId107">
        <w:r>
          <w:rPr>
            <w:rStyle w:val="Hyperlink"/>
          </w:rPr>
          <w:t xml:space="preserve">10.1653/0015-4040(2005)088[0195:pomava]2.0.co;2</w:t>
        </w:r>
      </w:hyperlink>
      <w:r>
        <w:t xml:space="preserve">.</w:t>
      </w:r>
    </w:p>
    <w:bookmarkEnd w:id="108"/>
    <w:bookmarkStart w:id="110"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 DOI:</w:t>
      </w:r>
      <w:hyperlink r:id="rId109">
        <w:r>
          <w:rPr>
            <w:rStyle w:val="Hyperlink"/>
          </w:rPr>
          <w:t xml:space="preserve">10.3390/plants9050558</w:t>
        </w:r>
      </w:hyperlink>
      <w:r>
        <w:t xml:space="preserve">.</w:t>
      </w:r>
    </w:p>
    <w:bookmarkEnd w:id="110"/>
    <w:bookmarkStart w:id="112"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 DOI:</w:t>
      </w:r>
      <w:hyperlink r:id="rId111">
        <w:r>
          <w:rPr>
            <w:rStyle w:val="Hyperlink"/>
          </w:rPr>
          <w:t xml:space="preserve">10.21273/jashs.128.4.0575</w:t>
        </w:r>
      </w:hyperlink>
      <w:r>
        <w:t xml:space="preserve">.</w:t>
      </w:r>
    </w:p>
    <w:bookmarkEnd w:id="112"/>
    <w:bookmarkStart w:id="114"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 DOI:</w:t>
      </w:r>
      <w:hyperlink r:id="rId113">
        <w:r>
          <w:rPr>
            <w:rStyle w:val="Hyperlink"/>
          </w:rPr>
          <w:t xml:space="preserve">10.1094/pdis-10-15-1205-pdn</w:t>
        </w:r>
      </w:hyperlink>
      <w:r>
        <w:t xml:space="preserve">.</w:t>
      </w:r>
    </w:p>
    <w:bookmarkEnd w:id="114"/>
    <w:bookmarkStart w:id="116"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 DOI:</w:t>
      </w:r>
      <w:hyperlink r:id="rId115">
        <w:r>
          <w:rPr>
            <w:rStyle w:val="Hyperlink"/>
          </w:rPr>
          <w:t xml:space="preserve">10.3389/fpls.2020.584981</w:t>
        </w:r>
      </w:hyperlink>
      <w:r>
        <w:t xml:space="preserve">.</w:t>
      </w:r>
    </w:p>
    <w:bookmarkEnd w:id="116"/>
    <w:bookmarkStart w:id="118" w:name="ref-Midthassel2016"/>
    <w:p>
      <w:pPr>
        <w:pStyle w:val="Bibliography"/>
      </w:pPr>
      <w:r>
        <w:rPr>
          <w:bCs/>
          <w:b/>
        </w:rPr>
        <w:t xml:space="preserve">Midthassel, A., S. R. Leather, D. J. Wright, and I. H. Baxter</w:t>
      </w:r>
      <w:r>
        <w:t xml:space="preserve">.</w:t>
      </w:r>
      <w:r>
        <w:t xml:space="preserve"> </w:t>
      </w:r>
      <w:r>
        <w:rPr>
          <w:bCs/>
          <w:b/>
        </w:rPr>
        <w:t xml:space="preserve">2016</w:t>
      </w:r>
      <w:r>
        <w:t xml:space="preserve">. Compatibility of</w:t>
      </w:r>
      <w:r>
        <w:t xml:space="preserve"> </w:t>
      </w:r>
      <w:r>
        <w:rPr>
          <w:iCs/>
          <w:i/>
        </w:rPr>
        <w:t xml:space="preserve">Amblyseius swirskii</w:t>
      </w:r>
      <w:r>
        <w:t xml:space="preserve"> </w:t>
      </w:r>
      <w:r>
        <w:t xml:space="preserve">with</w:t>
      </w:r>
      <w:r>
        <w:t xml:space="preserve"> </w:t>
      </w:r>
      <w:r>
        <w:rPr>
          <w:iCs/>
          <w:i/>
        </w:rPr>
        <w:t xml:space="preserve">Beauveria bassiana</w:t>
      </w:r>
      <w:r>
        <w:t xml:space="preserve">: Two potentially complimentary biocontrol agents. Biocontrol. 61: 437–447, DOI:</w:t>
      </w:r>
      <w:hyperlink r:id="rId117">
        <w:r>
          <w:rPr>
            <w:rStyle w:val="Hyperlink"/>
          </w:rPr>
          <w:t xml:space="preserve">10.1007/s10526-016-9718-3</w:t>
        </w:r>
      </w:hyperlink>
      <w:r>
        <w:t xml:space="preserve">.</w:t>
      </w:r>
    </w:p>
    <w:bookmarkEnd w:id="118"/>
    <w:bookmarkStart w:id="120" w:name="ref-Navia2013"/>
    <w:p>
      <w:pPr>
        <w:pStyle w:val="Bibliography"/>
      </w:pPr>
      <w:r>
        <w:rPr>
          <w:bCs/>
          <w:b/>
        </w:rPr>
        <w:t xml:space="preserve">Navia, D., R. S. Mendonça, F. Ferragut, L. C. Miranda, R. C. Trincado, J. Michaux, and M. Navajas</w:t>
      </w:r>
      <w:r>
        <w:t xml:space="preserve">.</w:t>
      </w:r>
      <w:r>
        <w:t xml:space="preserve"> </w:t>
      </w:r>
      <w:r>
        <w:rPr>
          <w:bCs/>
          <w:b/>
        </w:rPr>
        <w:t xml:space="preserve">2013</w:t>
      </w:r>
      <w:r>
        <w:t xml:space="preserve">. Cryptic diversity in</w:t>
      </w:r>
      <w:r>
        <w:t xml:space="preserve"> </w:t>
      </w:r>
      <w:r>
        <w:rPr>
          <w:iCs/>
          <w:i/>
        </w:rPr>
        <w:t xml:space="preserve">Brevipalpus</w:t>
      </w:r>
      <w:r>
        <w:t xml:space="preserve"> </w:t>
      </w:r>
      <w:r>
        <w:t xml:space="preserve">mites (</w:t>
      </w:r>
      <w:r>
        <w:t xml:space="preserve">Tenuipalpidae</w:t>
      </w:r>
      <w:r>
        <w:t xml:space="preserve">). Zoologica Scripta. 42: 406–426, DOI:</w:t>
      </w:r>
      <w:hyperlink r:id="rId119">
        <w:r>
          <w:rPr>
            <w:rStyle w:val="Hyperlink"/>
          </w:rPr>
          <w:t xml:space="preserve">10.1111/zsc.12013</w:t>
        </w:r>
      </w:hyperlink>
      <w:r>
        <w:t xml:space="preserve">.</w:t>
      </w:r>
    </w:p>
    <w:bookmarkEnd w:id="120"/>
    <w:bookmarkStart w:id="122" w:name="ref-Omoto2000"/>
    <w:p>
      <w:pPr>
        <w:pStyle w:val="Bibliography"/>
      </w:pPr>
      <w:r>
        <w:rPr>
          <w:bCs/>
          <w:b/>
        </w:rPr>
        <w:t xml:space="preserve">Omoto, C., E. B. Alves, and P. C. Ribeiro</w:t>
      </w:r>
      <w:r>
        <w:t xml:space="preserve">.</w:t>
      </w:r>
      <w:r>
        <w:t xml:space="preserve"> </w:t>
      </w:r>
      <w:r>
        <w:rPr>
          <w:bCs/>
          <w:b/>
        </w:rPr>
        <w:t xml:space="preserve">2000</w:t>
      </w:r>
      <w:r>
        <w:t xml:space="preserve">. Detec</w:t>
      </w:r>
      <w:r>
        <w:t xml:space="preserve">ç</w:t>
      </w:r>
      <w:r>
        <w:t xml:space="preserve">ã</w:t>
      </w:r>
      <w:r>
        <w:t xml:space="preserve">o e monitoramento da resist</w:t>
      </w:r>
      <w:r>
        <w:t xml:space="preserve">ê</w:t>
      </w:r>
      <w:r>
        <w:t xml:space="preserve">ncia de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do dicofol. Anais da Sociedade Entomol</w:t>
      </w:r>
      <w:r>
        <w:t xml:space="preserve">ó</w:t>
      </w:r>
      <w:r>
        <w:t xml:space="preserve">gica do Brasil. 29: 757–764, DOI:</w:t>
      </w:r>
      <w:hyperlink r:id="rId121">
        <w:r>
          <w:rPr>
            <w:rStyle w:val="Hyperlink"/>
          </w:rPr>
          <w:t xml:space="preserve">10.1590/s0301-80592000000400016</w:t>
        </w:r>
      </w:hyperlink>
      <w:r>
        <w:t xml:space="preserve">.</w:t>
      </w:r>
    </w:p>
    <w:bookmarkEnd w:id="122"/>
    <w:bookmarkStart w:id="124"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 DOI:</w:t>
      </w:r>
      <w:hyperlink r:id="rId123">
        <w:r>
          <w:rPr>
            <w:rStyle w:val="Hyperlink"/>
          </w:rPr>
          <w:t xml:space="preserve">10.1007/s00705-012-1506-5</w:t>
        </w:r>
      </w:hyperlink>
      <w:r>
        <w:t xml:space="preserve">.</w:t>
      </w:r>
    </w:p>
    <w:bookmarkEnd w:id="124"/>
    <w:bookmarkStart w:id="126" w:name="ref-Pena2015"/>
    <w:p>
      <w:pPr>
        <w:pStyle w:val="Bibliography"/>
      </w:pPr>
      <w:r>
        <w:rPr>
          <w:bCs/>
          <w:b/>
        </w:rPr>
        <w:t xml:space="preserve">Peña, J. E., K. Santos, I. Baez, and D. Carrillo</w:t>
      </w:r>
      <w:r>
        <w:t xml:space="preserve">.</w:t>
      </w:r>
      <w:r>
        <w:t xml:space="preserve"> </w:t>
      </w:r>
      <w:r>
        <w:rPr>
          <w:bCs/>
          <w:b/>
        </w:rPr>
        <w:t xml:space="preserve">2015</w:t>
      </w:r>
      <w:r>
        <w:t xml:space="preserve">. Physical post-harvest techniques as potential quarantine treatments against</w:t>
      </w:r>
      <w:r>
        <w:t xml:space="preserve"> </w:t>
      </w:r>
      <w:r>
        <w:rPr>
          <w:iCs/>
          <w:i/>
        </w:rPr>
        <w:t xml:space="preserve">Brevipalpus yothersi</w:t>
      </w:r>
      <w:r>
        <w:t xml:space="preserve"> </w:t>
      </w:r>
      <w:r>
        <w:t xml:space="preserve">(</w:t>
      </w:r>
      <w:r>
        <w:t xml:space="preserve">Acarina</w:t>
      </w:r>
      <w:r>
        <w:t xml:space="preserve">:</w:t>
      </w:r>
      <w:r>
        <w:t xml:space="preserve"> </w:t>
      </w:r>
      <w:r>
        <w:t xml:space="preserve">Tenuipalpidae</w:t>
      </w:r>
      <w:r>
        <w:t xml:space="preserve">). The Florida Entomologist. 98: 1169–1174, DOI:</w:t>
      </w:r>
      <w:hyperlink r:id="rId125">
        <w:r>
          <w:rPr>
            <w:rStyle w:val="Hyperlink"/>
          </w:rPr>
          <w:t xml:space="preserve">10.1653/024.098.0422</w:t>
        </w:r>
      </w:hyperlink>
      <w:r>
        <w:t xml:space="preserve">.</w:t>
      </w:r>
    </w:p>
    <w:bookmarkEnd w:id="126"/>
    <w:bookmarkStart w:id="128"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 DOI:</w:t>
      </w:r>
      <w:hyperlink r:id="rId127">
        <w:r>
          <w:rPr>
            <w:rStyle w:val="Hyperlink"/>
          </w:rPr>
          <w:t xml:space="preserve">10.1111/jph.12420</w:t>
        </w:r>
      </w:hyperlink>
      <w:r>
        <w:t xml:space="preserve">.</w:t>
      </w:r>
    </w:p>
    <w:bookmarkEnd w:id="128"/>
    <w:bookmarkStart w:id="130" w:name="ref-Reddy2001"/>
    <w:p>
      <w:pPr>
        <w:pStyle w:val="Bibliography"/>
      </w:pPr>
      <w:r>
        <w:rPr>
          <w:bCs/>
          <w:b/>
        </w:rPr>
        <w:t xml:space="preserve">Reddy, G. V. P.</w:t>
      </w:r>
      <w:r>
        <w:t xml:space="preserve"> </w:t>
      </w:r>
      <w:r>
        <w:rPr>
          <w:bCs/>
          <w:b/>
        </w:rPr>
        <w:t xml:space="preserve">2001</w:t>
      </w:r>
      <w:r>
        <w:t xml:space="preserve">. Comparative effectiveness of an integrated pest management system and other control tactics for managing the spider mite</w:t>
      </w:r>
      <w:r>
        <w:t xml:space="preserve"> </w:t>
      </w:r>
      <w:r>
        <w:rPr>
          <w:iCs/>
          <w:i/>
        </w:rPr>
        <w:t xml:space="preserve">Tetranychus ludeni</w:t>
      </w:r>
      <w:r>
        <w:t xml:space="preserve"> </w:t>
      </w:r>
      <w:r>
        <w:t xml:space="preserve">(Acari: Tetranychidae)</w:t>
      </w:r>
      <w:r>
        <w:t xml:space="preserve"> </w:t>
      </w:r>
      <w:r>
        <w:t xml:space="preserve">on eggplant. Experimental and Applied Acarology. 25: 985–992, DOI:</w:t>
      </w:r>
      <w:hyperlink r:id="rId129">
        <w:r>
          <w:rPr>
            <w:rStyle w:val="Hyperlink"/>
          </w:rPr>
          <w:t xml:space="preserve">10.1023/a:1020661215827</w:t>
        </w:r>
      </w:hyperlink>
      <w:r>
        <w:t xml:space="preserve">.</w:t>
      </w:r>
    </w:p>
    <w:bookmarkEnd w:id="130"/>
    <w:bookmarkStart w:id="132" w:name="ref-Revynthi2019"/>
    <w:p>
      <w:pPr>
        <w:pStyle w:val="Bibliography"/>
      </w:pPr>
      <w:r>
        <w:rPr>
          <w:bCs/>
          <w:b/>
        </w:rPr>
        <w:t xml:space="preserve">Revynthi, A. M., J. E. Peña, J. M. Moreno, A. L. Beam, C. Mannion, W. D. Bailey, and D. Carrillo</w:t>
      </w:r>
      <w:r>
        <w:t xml:space="preserve">.</w:t>
      </w:r>
      <w:r>
        <w:t xml:space="preserve"> </w:t>
      </w:r>
      <w:r>
        <w:rPr>
          <w:bCs/>
          <w:b/>
        </w:rPr>
        <w:t xml:space="preserve">2019</w:t>
      </w:r>
      <w:r>
        <w:t xml:space="preserve">. Effectiveness of hot-water immersion against</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as a postharvest treatment for lemons. Journal of Economic Entomology., DOI:</w:t>
      </w:r>
      <w:hyperlink r:id="rId131">
        <w:r>
          <w:rPr>
            <w:rStyle w:val="Hyperlink"/>
          </w:rPr>
          <w:t xml:space="preserve">10.1093/jee/toz258</w:t>
        </w:r>
      </w:hyperlink>
      <w:r>
        <w:t xml:space="preserve">.</w:t>
      </w:r>
    </w:p>
    <w:bookmarkEnd w:id="132"/>
    <w:bookmarkStart w:id="134" w:name="ref-Rocha2021"/>
    <w:p>
      <w:pPr>
        <w:pStyle w:val="Bibliography"/>
      </w:pPr>
      <w:r>
        <w:rPr>
          <w:bCs/>
          <w:b/>
        </w:rPr>
        <w:t xml:space="preserve">Rocha, C., J. D. Vechia, P. Savi, C. Omoto, and D. Andrade</w:t>
      </w:r>
      <w:r>
        <w:t xml:space="preserve">.</w:t>
      </w:r>
      <w:r>
        <w:t xml:space="preserve"> </w:t>
      </w:r>
      <w:r>
        <w:rPr>
          <w:bCs/>
          <w:b/>
        </w:rPr>
        <w:t xml:space="preserve">2021</w:t>
      </w:r>
      <w:r>
        <w:t xml:space="preserve">. Resistance to spirodiclofen in</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from brazilian citrus groves: Detection, monitoring, and population performance. Pest Management Science., DOI:</w:t>
      </w:r>
      <w:hyperlink r:id="rId133">
        <w:r>
          <w:rPr>
            <w:rStyle w:val="Hyperlink"/>
          </w:rPr>
          <w:t xml:space="preserve">10.1002/ps.6341</w:t>
        </w:r>
      </w:hyperlink>
      <w:r>
        <w:t xml:space="preserve">.</w:t>
      </w:r>
    </w:p>
    <w:bookmarkEnd w:id="134"/>
    <w:bookmarkStart w:id="136"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 DOI:</w:t>
      </w:r>
      <w:hyperlink r:id="rId135">
        <w:r>
          <w:rPr>
            <w:rStyle w:val="Hyperlink"/>
          </w:rPr>
          <w:t xml:space="preserve">10.1007/s10493-012-9632-z</w:t>
        </w:r>
      </w:hyperlink>
      <w:r>
        <w:t xml:space="preserve">.</w:t>
      </w:r>
    </w:p>
    <w:bookmarkEnd w:id="136"/>
    <w:bookmarkStart w:id="138" w:name="ref-RossiZalaf2008"/>
    <w:p>
      <w:pPr>
        <w:pStyle w:val="Bibliography"/>
      </w:pPr>
      <w:r>
        <w:rPr>
          <w:bCs/>
          <w:b/>
        </w:rPr>
        <w:t xml:space="preserve">Rossi-Zalaf, L. S., S. B. Alves, and S. A. Vieira</w:t>
      </w:r>
      <w:r>
        <w:t xml:space="preserve">.</w:t>
      </w:r>
      <w:r>
        <w:t xml:space="preserve"> </w:t>
      </w:r>
      <w:r>
        <w:rPr>
          <w:bCs/>
          <w:b/>
        </w:rPr>
        <w:t xml:space="preserve">2008</w:t>
      </w:r>
      <w:r>
        <w:t xml:space="preserve">. Efeito de meios de cultura na virul</w:t>
      </w:r>
      <w:r>
        <w:t xml:space="preserve">ê</w:t>
      </w:r>
      <w:r>
        <w:t xml:space="preserve">ncia de</w:t>
      </w:r>
      <w:r>
        <w:t xml:space="preserve"> </w:t>
      </w:r>
      <w:r>
        <w:rPr>
          <w:iCs/>
          <w:i/>
        </w:rPr>
        <w:t xml:space="preserve">Hirsutella thompsonii</w:t>
      </w:r>
      <w:r>
        <w:t xml:space="preserve"> </w:t>
      </w:r>
      <w:r>
        <w:t xml:space="preserve">(</w:t>
      </w:r>
      <w:r>
        <w:t xml:space="preserve">Fischer</w:t>
      </w:r>
      <w:r>
        <w:t xml:space="preserve">) (</w:t>
      </w:r>
      <w:r>
        <w:t xml:space="preserve">Deuteromycetes</w:t>
      </w:r>
      <w:r>
        <w:t xml:space="preserve">) para o controle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Neotropical Entomology. 37: 312–320, DOI:</w:t>
      </w:r>
      <w:hyperlink r:id="rId137">
        <w:r>
          <w:rPr>
            <w:rStyle w:val="Hyperlink"/>
          </w:rPr>
          <w:t xml:space="preserve">10.1590/s1519-566x2008000300011</w:t>
        </w:r>
      </w:hyperlink>
      <w:r>
        <w:t xml:space="preserve">.</w:t>
      </w:r>
    </w:p>
    <w:bookmarkEnd w:id="138"/>
    <w:bookmarkStart w:id="140"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 DOI:</w:t>
      </w:r>
      <w:hyperlink r:id="rId139">
        <w:r>
          <w:rPr>
            <w:rStyle w:val="Hyperlink"/>
          </w:rPr>
          <w:t xml:space="preserve">10.1094/phyto-07-19-0253-fi</w:t>
        </w:r>
      </w:hyperlink>
      <w:r>
        <w:t xml:space="preserve">.</w:t>
      </w:r>
    </w:p>
    <w:bookmarkEnd w:id="140"/>
    <w:bookmarkStart w:id="142"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 DOI:</w:t>
      </w:r>
      <w:hyperlink r:id="rId141">
        <w:r>
          <w:rPr>
            <w:rStyle w:val="Hyperlink"/>
          </w:rPr>
          <w:t xml:space="preserve">10.1094/phyto-09-14-0245-r</w:t>
        </w:r>
      </w:hyperlink>
      <w:r>
        <w:t xml:space="preserve">.</w:t>
      </w:r>
    </w:p>
    <w:bookmarkEnd w:id="142"/>
    <w:bookmarkStart w:id="144" w:name="ref-Skoracka2010"/>
    <w:p>
      <w:pPr>
        <w:pStyle w:val="Bibliography"/>
      </w:pPr>
      <w:r>
        <w:rPr>
          <w:bCs/>
          <w:b/>
        </w:rPr>
        <w:t xml:space="preserve">Skoracka, A., and M. Dabert</w:t>
      </w:r>
      <w:r>
        <w:t xml:space="preserve">.</w:t>
      </w:r>
      <w:r>
        <w:t xml:space="preserve"> </w:t>
      </w:r>
      <w:r>
        <w:rPr>
          <w:bCs/>
          <w:b/>
        </w:rPr>
        <w:t xml:space="preserve">2010</w:t>
      </w:r>
      <w:r>
        <w:t xml:space="preserve">. The</w:t>
      </w:r>
      <w:r>
        <w:t xml:space="preserve"> </w:t>
      </w:r>
      <w:r>
        <w:t xml:space="preserve">Cereal rust mite</w:t>
      </w:r>
      <w:r>
        <w:t xml:space="preserve"> </w:t>
      </w:r>
      <w:r>
        <w:rPr>
          <w:iCs/>
          <w:i/>
        </w:rPr>
        <w:t xml:space="preserve">Abacarus hystrix</w:t>
      </w:r>
      <w:r>
        <w:t xml:space="preserve"> </w:t>
      </w:r>
      <w:r>
        <w:t xml:space="preserve">(</w:t>
      </w:r>
      <w:r>
        <w:t xml:space="preserve">Acari</w:t>
      </w:r>
      <w:r>
        <w:t xml:space="preserve">:</w:t>
      </w:r>
      <w:r>
        <w:t xml:space="preserve"> </w:t>
      </w:r>
      <w:r>
        <w:t xml:space="preserve">Eriophyoidea</w:t>
      </w:r>
      <w:r>
        <w:t xml:space="preserve">) is a complex of species: Evidence from mitochondrial and nuclear</w:t>
      </w:r>
      <w:r>
        <w:t xml:space="preserve"> </w:t>
      </w:r>
      <w:r>
        <w:t xml:space="preserve">DNA</w:t>
      </w:r>
      <w:r>
        <w:t xml:space="preserve"> </w:t>
      </w:r>
      <w:r>
        <w:t xml:space="preserve">sequences. Bulletin of Entomological Research. 100: 263–272, DOI:</w:t>
      </w:r>
      <w:hyperlink r:id="rId143">
        <w:r>
          <w:rPr>
            <w:rStyle w:val="Hyperlink"/>
          </w:rPr>
          <w:t xml:space="preserve">10.1017/s0007485309990216</w:t>
        </w:r>
      </w:hyperlink>
      <w:r>
        <w:t xml:space="preserve">.</w:t>
      </w:r>
    </w:p>
    <w:bookmarkEnd w:id="144"/>
    <w:bookmarkStart w:id="146" w:name="ref-Skoracka2013"/>
    <w:p>
      <w:pPr>
        <w:pStyle w:val="Bibliography"/>
      </w:pPr>
      <w:r>
        <w:rPr>
          <w:bCs/>
          <w:b/>
        </w:rPr>
        <w:t xml:space="preserve">Skoracka, A., L. Kuczyński, W. Szydło, and B. Rector</w:t>
      </w:r>
      <w:r>
        <w:t xml:space="preserve">.</w:t>
      </w:r>
      <w:r>
        <w:t xml:space="preserve"> </w:t>
      </w:r>
      <w:r>
        <w:rPr>
          <w:bCs/>
          <w:b/>
        </w:rPr>
        <w:t xml:space="preserve">2013</w:t>
      </w:r>
      <w:r>
        <w:t xml:space="preserve">. The wheat curl mite</w:t>
      </w:r>
      <w:r>
        <w:t xml:space="preserve"> </w:t>
      </w:r>
      <w:r>
        <w:rPr>
          <w:iCs/>
          <w:i/>
        </w:rPr>
        <w:t xml:space="preserve">Aceria tosichella</w:t>
      </w:r>
      <w:r>
        <w:t xml:space="preserve"> </w:t>
      </w:r>
      <w:r>
        <w:t xml:space="preserve">(</w:t>
      </w:r>
      <w:r>
        <w:t xml:space="preserve">Acari: Eriophyoidea</w:t>
      </w:r>
      <w:r>
        <w:t xml:space="preserve">) is a complex of cryptic lineages with divergent host ranges: Evidence from molecular and plant bioassay data. Biological Journal of the Linnean Society. 109: 165–180, DOI:</w:t>
      </w:r>
      <w:hyperlink r:id="rId145">
        <w:r>
          <w:rPr>
            <w:rStyle w:val="Hyperlink"/>
          </w:rPr>
          <w:t xml:space="preserve">10.1111/bij.12024</w:t>
        </w:r>
      </w:hyperlink>
      <w:r>
        <w:t xml:space="preserve">.</w:t>
      </w:r>
    </w:p>
    <w:bookmarkEnd w:id="146"/>
    <w:bookmarkStart w:id="148" w:name="ref-Umina1999"/>
    <w:p>
      <w:pPr>
        <w:pStyle w:val="Bibliography"/>
      </w:pPr>
      <w:r>
        <w:rPr>
          <w:bCs/>
          <w:b/>
        </w:rPr>
        <w:t xml:space="preserve">Umina, P. A., and A. A. Hoffmann</w:t>
      </w:r>
      <w:r>
        <w:t xml:space="preserve">.</w:t>
      </w:r>
      <w:r>
        <w:t xml:space="preserve"> </w:t>
      </w:r>
      <w:r>
        <w:rPr>
          <w:bCs/>
          <w:b/>
        </w:rPr>
        <w:t xml:space="preserve">1999</w:t>
      </w:r>
      <w:r>
        <w:t xml:space="preserve">. Tolerance of cryptic species of blue oat mites (</w:t>
      </w:r>
      <w:r>
        <w:rPr>
          <w:iCs/>
          <w:i/>
        </w:rPr>
        <w:t xml:space="preserve">Penthaleus</w:t>
      </w:r>
      <w:r>
        <w:t xml:space="preserve"> </w:t>
      </w:r>
      <w:r>
        <w:t xml:space="preserve">spp.) And the redlegged earth mite (</w:t>
      </w:r>
      <w:r>
        <w:rPr>
          <w:iCs/>
          <w:i/>
        </w:rPr>
        <w:t xml:space="preserve">Halotydeus destructor</w:t>
      </w:r>
      <w:r>
        <w:t xml:space="preserve">) to pesticides. Australian Journal of Experimental Agriculture. 39: 621, DOI:</w:t>
      </w:r>
      <w:hyperlink r:id="rId147">
        <w:r>
          <w:rPr>
            <w:rStyle w:val="Hyperlink"/>
          </w:rPr>
          <w:t xml:space="preserve">10.1071/ea99028</w:t>
        </w:r>
      </w:hyperlink>
      <w:r>
        <w:t xml:space="preserve">.</w:t>
      </w:r>
    </w:p>
    <w:bookmarkEnd w:id="148"/>
    <w:bookmarkStart w:id="149" w:name="ref-Vacante2010"/>
    <w:p>
      <w:pPr>
        <w:pStyle w:val="Bibliography"/>
      </w:pPr>
      <w:r>
        <w:rPr>
          <w:bCs/>
          <w:b/>
        </w:rPr>
        <w:t xml:space="preserve">Vacante, V.</w:t>
      </w:r>
      <w:r>
        <w:t xml:space="preserve"> </w:t>
      </w:r>
      <w:r>
        <w:rPr>
          <w:bCs/>
          <w:b/>
        </w:rPr>
        <w:t xml:space="preserve">2010</w:t>
      </w:r>
      <w:r>
        <w:t xml:space="preserve">. Citrus mites: Identification, bionomy and control. CABI.</w:t>
      </w:r>
    </w:p>
    <w:bookmarkEnd w:id="149"/>
    <w:bookmarkStart w:id="150" w:name="ref-Vacante2016"/>
    <w:p>
      <w:pPr>
        <w:pStyle w:val="Bibliography"/>
      </w:pPr>
      <w:r>
        <w:rPr>
          <w:bCs/>
          <w:b/>
        </w:rPr>
        <w:t xml:space="preserve">Vacante, V.</w:t>
      </w:r>
      <w:r>
        <w:t xml:space="preserve"> </w:t>
      </w:r>
      <w:r>
        <w:rPr>
          <w:bCs/>
          <w:b/>
        </w:rPr>
        <w:t xml:space="preserve">2016</w:t>
      </w:r>
      <w:r>
        <w:t xml:space="preserve">. Handbook of mites of economic plants: Identification, bio-ecology and control. CABI.</w:t>
      </w:r>
    </w:p>
    <w:bookmarkEnd w:id="150"/>
    <w:bookmarkStart w:id="152" w:name="ref-Vechia2018"/>
    <w:p>
      <w:pPr>
        <w:pStyle w:val="Bibliography"/>
      </w:pPr>
      <w:r>
        <w:rPr>
          <w:bCs/>
          <w:b/>
        </w:rPr>
        <w:t xml:space="preserve">Vechia, J. F. D., M. C. Ferreira, and D. J. Andrade</w:t>
      </w:r>
      <w:r>
        <w:t xml:space="preserve">.</w:t>
      </w:r>
      <w:r>
        <w:t xml:space="preserve"> </w:t>
      </w:r>
      <w:r>
        <w:rPr>
          <w:bCs/>
          <w:b/>
        </w:rPr>
        <w:t xml:space="preserve">2018</w:t>
      </w:r>
      <w:r>
        <w:t xml:space="preserve">. Interaction of spirodiclofen with insecticides for the control of</w:t>
      </w:r>
      <w:r>
        <w:t xml:space="preserve"> </w:t>
      </w:r>
      <w:r>
        <w:rPr>
          <w:iCs/>
          <w:i/>
        </w:rPr>
        <w:t xml:space="preserve">Brevipalpus yothersii</w:t>
      </w:r>
      <w:r>
        <w:t xml:space="preserve"> </w:t>
      </w:r>
      <w:r>
        <w:t xml:space="preserve">in citrus. Pest Management Science. 74: 2438–2443, DOI:</w:t>
      </w:r>
      <w:hyperlink r:id="rId151">
        <w:r>
          <w:rPr>
            <w:rStyle w:val="Hyperlink"/>
          </w:rPr>
          <w:t xml:space="preserve">10.1002/ps.4918</w:t>
        </w:r>
      </w:hyperlink>
      <w:r>
        <w:t xml:space="preserve">.</w:t>
      </w:r>
    </w:p>
    <w:bookmarkEnd w:id="152"/>
    <w:bookmarkStart w:id="154" w:name="ref-Vechia2021"/>
    <w:p>
      <w:pPr>
        <w:pStyle w:val="Bibliography"/>
      </w:pPr>
      <w:r>
        <w:rPr>
          <w:bCs/>
          <w:b/>
        </w:rPr>
        <w:t xml:space="preserve">Vechia, J. F. D., T. V. Leeuwen, G. D. Rossi, and D. J. Andrade</w:t>
      </w:r>
      <w:r>
        <w:t xml:space="preserve">.</w:t>
      </w:r>
      <w:r>
        <w:t xml:space="preserve"> </w:t>
      </w:r>
      <w:r>
        <w:rPr>
          <w:bCs/>
          <w:b/>
        </w:rPr>
        <w:t xml:space="preserve">2021</w:t>
      </w:r>
      <w:r>
        <w:t xml:space="preserve">. The role of detoxification enzymes in the susceptibility of</w:t>
      </w:r>
      <w:r>
        <w:t xml:space="preserve"> </w:t>
      </w:r>
      <w:r>
        <w:rPr>
          <w:iCs/>
          <w:i/>
        </w:rPr>
        <w:t xml:space="preserve">Brevipalpus californicus</w:t>
      </w:r>
      <w:r>
        <w:t xml:space="preserve"> </w:t>
      </w:r>
      <w:r>
        <w:t xml:space="preserve">exposed to acaricide and insecticide mixtures. Pesticide Biochemistry and Physiology. 175: 104855, DOI:</w:t>
      </w:r>
      <w:hyperlink r:id="rId153">
        <w:r>
          <w:rPr>
            <w:rStyle w:val="Hyperlink"/>
          </w:rPr>
          <w:t xml:space="preserve">10.1016/j.pestbp.2021.104855</w:t>
        </w:r>
      </w:hyperlink>
      <w:r>
        <w:t xml:space="preserve">.</w:t>
      </w:r>
    </w:p>
    <w:bookmarkEnd w:id="154"/>
    <w:bookmarkStart w:id="156"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 DOI:</w:t>
      </w:r>
      <w:hyperlink r:id="rId155">
        <w:r>
          <w:rPr>
            <w:rStyle w:val="Hyperlink"/>
          </w:rPr>
          <w:t xml:space="preserve">10.1094/PDIS-12-20-2736-PDN</w:t>
        </w:r>
      </w:hyperlink>
      <w:r>
        <w:t xml:space="preserve">.</w:t>
      </w:r>
    </w:p>
    <w:bookmarkEnd w:id="156"/>
    <w:bookmarkStart w:id="158"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 DOI:</w:t>
      </w:r>
      <w:hyperlink r:id="rId157">
        <w:r>
          <w:rPr>
            <w:rStyle w:val="Hyperlink"/>
          </w:rPr>
          <w:t xml:space="preserve">10.1099/jgv.0.001020</w:t>
        </w:r>
      </w:hyperlink>
      <w:r>
        <w:t xml:space="preserve">.</w:t>
      </w:r>
    </w:p>
    <w:bookmarkEnd w:id="158"/>
    <w:bookmarkStart w:id="160"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 DOI:</w:t>
      </w:r>
      <w:hyperlink r:id="rId159">
        <w:r>
          <w:rPr>
            <w:rStyle w:val="Hyperlink"/>
          </w:rPr>
          <w:t xml:space="preserve">10.1600/036364414x682201</w:t>
        </w:r>
      </w:hyperlink>
      <w:r>
        <w:t xml:space="preserve">.</w:t>
      </w:r>
    </w:p>
    <w:bookmarkEnd w:id="160"/>
    <w:bookmarkStart w:id="161"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 DOI:</w:t>
      </w:r>
      <w:hyperlink r:id="rId123">
        <w:r>
          <w:rPr>
            <w:rStyle w:val="Hyperlink"/>
          </w:rPr>
          <w:t xml:space="preserve">10.1007/s00705-012-1506-5</w:t>
        </w:r>
      </w:hyperlink>
      <w:r>
        <w:t xml:space="preserve">.</w:t>
      </w:r>
    </w:p>
    <w:bookmarkEnd w:id="161"/>
    <w:bookmarkEnd w:id="162"/>
    <w:bookmarkEnd w:id="163"/>
    <w:bookmarkStart w:id="164" w:name="X939cdb20ca6cfb28ab46654545496e01e256375"/>
    <w:p>
      <w:pPr>
        <w:pStyle w:val="Heading3"/>
      </w:pPr>
      <w:r>
        <w:t xml:space="preserve">Table 1: List of Asparagaceae (Nolinoidaea) species with verified cases of orchid fleck virus, collected from the landscape of northern Florida</w:t>
      </w:r>
    </w:p>
    <w:tbl>
      <w:tblPr>
        <w:tblStyle w:val="Table"/>
        <w:tblW w:type="pct" w:w="5000"/>
        <w:tblLook w:firstRow="1" w:lastRow="0" w:firstColumn="0" w:lastColumn="0" w:noHBand="0" w:noVBand="0" w:val="0020"/>
      </w:tblPr>
      <w:tblGrid>
        <w:gridCol w:w="2376"/>
        <w:gridCol w:w="2970"/>
        <w:gridCol w:w="1188"/>
        <w:gridCol w:w="1386"/>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County</w:t>
            </w:r>
          </w:p>
        </w:tc>
        <w:tc>
          <w:p>
            <w:pPr>
              <w:pStyle w:val="Compact"/>
              <w:jc w:val="left"/>
            </w:pPr>
            <w:r>
              <w:t xml:space="preserve">Strains</w:t>
            </w:r>
          </w:p>
        </w:tc>
      </w:tr>
      <w:tr>
        <w:tc>
          <w:p>
            <w:pPr>
              <w:pStyle w:val="Compact"/>
              <w:jc w:val="left"/>
            </w:pPr>
            <w:r>
              <w:rPr>
                <w:iCs/>
                <w:i/>
              </w:rPr>
              <w:t xml:space="preserve">Liriope muscari</w:t>
            </w:r>
            <w:r>
              <w:t xml:space="preserve"> </w:t>
            </w:r>
            <w:r>
              <w:t xml:space="preserve">cv.</w:t>
            </w:r>
            <w:r>
              <w:t xml:space="preserve"> </w:t>
            </w:r>
            <w:r>
              <w:t xml:space="preserve">‘</w:t>
            </w:r>
            <w:r>
              <w:t xml:space="preserve">Gigantea</w:t>
            </w:r>
            <w:r>
              <w:t xml:space="preserve">’</w:t>
            </w:r>
            <w:r>
              <w:t xml:space="preserve">* (Decaisne) Bailey</w:t>
            </w:r>
          </w:p>
        </w:tc>
        <w:tc>
          <w:p>
            <w:pPr>
              <w:pStyle w:val="Compact"/>
              <w:jc w:val="left"/>
            </w:pPr>
            <w:r>
              <w:t xml:space="preserve">Lilyturf, Orchardgrass, Monkeygrass</w:t>
            </w:r>
          </w:p>
        </w:tc>
        <w:tc>
          <w:p>
            <w:pPr>
              <w:pStyle w:val="Compact"/>
              <w:jc w:val="left"/>
            </w:pPr>
            <w:r>
              <w:t xml:space="preserve">Alachua &amp; Leon</w:t>
            </w:r>
          </w:p>
        </w:tc>
        <w:tc>
          <w:p>
            <w:pPr>
              <w:pStyle w:val="Compact"/>
              <w:jc w:val="left"/>
            </w:pPr>
            <w:r>
              <w:t xml:space="preserve">OFV-Orc1 &amp; OFV-Orc2</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Leon</w:t>
            </w:r>
          </w:p>
        </w:tc>
        <w:tc>
          <w:p>
            <w:pPr>
              <w:pStyle w:val="Compact"/>
              <w:jc w:val="left"/>
            </w:pPr>
            <w:r>
              <w:t xml:space="preserve">OFV-Orc1 &amp; OFV-Orc2</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Leon</w:t>
            </w:r>
          </w:p>
        </w:tc>
        <w:tc>
          <w:p>
            <w:pPr>
              <w:pStyle w:val="Compact"/>
              <w:jc w:val="left"/>
            </w:pPr>
            <w:r>
              <w:t xml:space="preserve">OFV-Orc1 &amp; OFV-Orc2</w:t>
            </w:r>
          </w:p>
        </w:tc>
      </w:tr>
    </w:tbl>
    <w:p>
      <w:pPr>
        <w:pStyle w:val="BodyText"/>
      </w:pPr>
      <w:r>
        <w:t xml:space="preserve">Table 1: *</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has been traditionally classified as</w:t>
      </w:r>
      <w:r>
        <w:t xml:space="preserve"> </w:t>
      </w:r>
      <w:r>
        <w:rPr>
          <w:iCs/>
          <w:i/>
        </w:rPr>
        <w:t xml:space="preserve">L. gigantea</w:t>
      </w:r>
      <w:r>
        <w:t xml:space="preserve"> </w:t>
      </w:r>
      <w:r>
        <w:t xml:space="preserve">Hume 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 Both OFV-Orc1 and OFV-Orc2 were detected in all host species.</w:t>
      </w:r>
    </w:p>
    <w:bookmarkEnd w:id="164"/>
    <w:bookmarkStart w:id="165"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 orchid fleck virus: (a) ringspot symptoms on</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(b-c) Details of ringspot symptoms on</w:t>
      </w:r>
      <w:r>
        <w:t xml:space="preserve"> </w:t>
      </w:r>
      <w:r>
        <w:rPr>
          <w:iCs/>
          <w:i/>
        </w:rPr>
        <w:t xml:space="preserve">L. muscari</w:t>
      </w:r>
      <w:r>
        <w:t xml:space="preserve"> </w:t>
      </w:r>
      <w:r>
        <w:t xml:space="preserve">cv.</w:t>
      </w:r>
      <w:r>
        <w:t xml:space="preserve"> </w:t>
      </w:r>
      <w:r>
        <w:t xml:space="preserve">‘</w:t>
      </w:r>
      <w:r>
        <w:t xml:space="preserve">Gigantea</w:t>
      </w:r>
      <w:r>
        <w:t xml:space="preserve">’</w:t>
      </w:r>
      <w:r>
        <w:t xml:space="preserve"> </w:t>
      </w:r>
      <w:r>
        <w:t xml:space="preserve">(d) rust colored spots on</w:t>
      </w:r>
      <w:r>
        <w:t xml:space="preserve"> </w:t>
      </w:r>
      <w:r>
        <w:rPr>
          <w:iCs/>
          <w:i/>
        </w:rPr>
        <w:t xml:space="preserve">Ophiopogon intermedius</w:t>
      </w:r>
    </w:p>
    <w:p>
      <w:pPr>
        <w:pStyle w:val="BodyText"/>
      </w:pPr>
      <w:r>
        <w:t xml:space="preserve">Fig. 2: Symptoms expressed by</w:t>
      </w:r>
      <w:r>
        <w:t xml:space="preserve"> </w:t>
      </w:r>
      <w:r>
        <w:rPr>
          <w:iCs/>
          <w:i/>
        </w:rPr>
        <w:t xml:space="preserve">Aspidistra elatior</w:t>
      </w:r>
      <w:r>
        <w:t xml:space="preserve"> </w:t>
      </w:r>
      <w:r>
        <w:t xml:space="preserve">infected with orchid fleck virus: (a) Detail of leaf chlorosis (b) Chlorosis appears similar to sun damage (c-d) Chlorotic ringspot may indicate early symptoms of OFV</w:t>
      </w:r>
    </w:p>
    <w:p>
      <w:pPr>
        <w:pStyle w:val="BodyText"/>
      </w:pPr>
      <w:r>
        <w:t xml:space="preserve">Fig. 3: Cryo-SEM images of</w:t>
      </w:r>
      <w:r>
        <w:t xml:space="preserve"> </w:t>
      </w:r>
      <w:r>
        <w:rPr>
          <w:iCs/>
          <w:i/>
        </w:rPr>
        <w:t xml:space="preserve">Brevipalpus californicus</w:t>
      </w:r>
      <w:r>
        <w:t xml:space="preserve"> </w:t>
      </w:r>
      <w:r>
        <w:rPr>
          <w:iCs/>
          <w:i/>
        </w:rPr>
        <w:t xml:space="preserve">sensu lato</w:t>
      </w:r>
      <w:r>
        <w:t xml:space="preserve"> </w:t>
      </w:r>
      <w:r>
        <w:t xml:space="preserve">displaying various characters used for identification</w:t>
      </w:r>
      <w:r>
        <w:t xml:space="preserve"> </w:t>
      </w:r>
      <w:r>
        <w:t xml:space="preserve">(Baker and Tuttle 1987, Beard et al. 2015)</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bookmarkEnd w:id="165"/>
    <w:bookmarkStart w:id="169"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166"/>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167"/>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168"/>
                    <a:stretch>
                      <a:fillRect/>
                    </a:stretch>
                  </pic:blipFill>
                  <pic:spPr bwMode="auto">
                    <a:xfrm>
                      <a:off x="0" y="0"/>
                      <a:ext cx="5943600" cy="3962400"/>
                    </a:xfrm>
                    <a:prstGeom prst="rect">
                      <a:avLst/>
                    </a:prstGeom>
                    <a:noFill/>
                    <a:ln w="9525">
                      <a:noFill/>
                      <a:headEnd/>
                      <a:tailEnd/>
                    </a:ln>
                  </pic:spPr>
                </pic:pic>
              </a:graphicData>
            </a:graphic>
          </wp:inline>
        </w:drawing>
      </w:r>
    </w:p>
    <w:bookmarkEnd w:id="169"/>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6" Target="media/rId166.png" /><Relationship Type="http://schemas.openxmlformats.org/officeDocument/2006/relationships/image" Id="rId167" Target="media/rId167.png" /><Relationship Type="http://schemas.openxmlformats.org/officeDocument/2006/relationships/image" Id="rId168" Target="media/rId168.png" /><Relationship Type="http://schemas.openxmlformats.org/officeDocument/2006/relationships/hyperlink" Id="rId151" Target="https://doi.org/10.1002/ps.4918" TargetMode="External" /><Relationship Type="http://schemas.openxmlformats.org/officeDocument/2006/relationships/hyperlink" Id="rId133" Target="https://doi.org/10.1002/ps.6341" TargetMode="External" /><Relationship Type="http://schemas.openxmlformats.org/officeDocument/2006/relationships/hyperlink" Id="rId104" Target="https://doi.org/10.1007/s00705-009-0395-8" TargetMode="External" /><Relationship Type="http://schemas.openxmlformats.org/officeDocument/2006/relationships/hyperlink" Id="rId123" Target="https://doi.org/10.1007/s00705-012-1506-5" TargetMode="External" /><Relationship Type="http://schemas.openxmlformats.org/officeDocument/2006/relationships/hyperlink" Id="rId70"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2" Target="https://doi.org/10.1007/s10327-009-0167-z" TargetMode="External" /><Relationship Type="http://schemas.openxmlformats.org/officeDocument/2006/relationships/hyperlink" Id="rId135" Target="https://doi.org/10.1007/s10493-012-9632-z" TargetMode="External" /><Relationship Type="http://schemas.openxmlformats.org/officeDocument/2006/relationships/hyperlink" Id="rId117" Target="https://doi.org/10.1007/s10526-016-9718-3" TargetMode="External" /><Relationship Type="http://schemas.openxmlformats.org/officeDocument/2006/relationships/hyperlink" Id="rId81" Target="https://doi.org/10.1007/s10526-017-9784-1" TargetMode="External" /><Relationship Type="http://schemas.openxmlformats.org/officeDocument/2006/relationships/hyperlink" Id="rId67" Target="https://doi.org/10.1007/s10658-019-01854-4" TargetMode="External" /><Relationship Type="http://schemas.openxmlformats.org/officeDocument/2006/relationships/hyperlink" Id="rId72" Target="https://doi.org/10.1007/s13314-018-0295-4"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53" Target="https://doi.org/10.1016/j.pestbp.2021.104855" TargetMode="External" /><Relationship Type="http://schemas.openxmlformats.org/officeDocument/2006/relationships/hyperlink" Id="rId96" Target="https://doi.org/10.1016/j.virol.2017.04.027" TargetMode="External" /><Relationship Type="http://schemas.openxmlformats.org/officeDocument/2006/relationships/hyperlink" Id="rId143" Target="https://doi.org/10.1017/s0007485309990216" TargetMode="External" /><Relationship Type="http://schemas.openxmlformats.org/officeDocument/2006/relationships/hyperlink" Id="rId129" Target="https://doi.org/10.1023/a:1020661215827" TargetMode="External" /><Relationship Type="http://schemas.openxmlformats.org/officeDocument/2006/relationships/hyperlink" Id="rId53" Target="https://doi.org/10.1023/a:1021103209193" TargetMode="External" /><Relationship Type="http://schemas.openxmlformats.org/officeDocument/2006/relationships/hyperlink" Id="rId65" Target="https://doi.org/10.1023/b:appa.0000006548.01625.72" TargetMode="External" /><Relationship Type="http://schemas.openxmlformats.org/officeDocument/2006/relationships/hyperlink" Id="rId100" Target="https://doi.org/10.1023/b:appa.0000006550.88615.10" TargetMode="External" /><Relationship Type="http://schemas.openxmlformats.org/officeDocument/2006/relationships/hyperlink" Id="rId147" Target="https://doi.org/10.1071/ea99028" TargetMode="External" /><Relationship Type="http://schemas.openxmlformats.org/officeDocument/2006/relationships/hyperlink" Id="rId61" Target="https://doi.org/10.1080/09583150600700172" TargetMode="External" /><Relationship Type="http://schemas.openxmlformats.org/officeDocument/2006/relationships/hyperlink" Id="rId48" Target="https://doi.org/10.1093/jee/toaa007" TargetMode="External" /><Relationship Type="http://schemas.openxmlformats.org/officeDocument/2006/relationships/hyperlink" Id="rId131" Target="https://doi.org/10.1093/jee/toz258" TargetMode="External" /><Relationship Type="http://schemas.openxmlformats.org/officeDocument/2006/relationships/hyperlink" Id="rId155" Target="https://doi.org/10.1094/PDIS-12-20-2736-PDN" TargetMode="External" /><Relationship Type="http://schemas.openxmlformats.org/officeDocument/2006/relationships/hyperlink" Id="rId113" Target="https://doi.org/10.1094/pdis-10-15-1205-pdn" TargetMode="External" /><Relationship Type="http://schemas.openxmlformats.org/officeDocument/2006/relationships/hyperlink" Id="rId50" Target="https://doi.org/10.1094/php-br-15-0018" TargetMode="External" /><Relationship Type="http://schemas.openxmlformats.org/officeDocument/2006/relationships/hyperlink" Id="rId83" Target="https://doi.org/10.1094/phyto-03-15-0064-r" TargetMode="External" /><Relationship Type="http://schemas.openxmlformats.org/officeDocument/2006/relationships/hyperlink" Id="rId139" Target="https://doi.org/10.1094/phyto-07-19-0253-fi" TargetMode="External" /><Relationship Type="http://schemas.openxmlformats.org/officeDocument/2006/relationships/hyperlink" Id="rId141"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7" Target="https://doi.org/10.1099/jgv.0.001020" TargetMode="External" /><Relationship Type="http://schemas.openxmlformats.org/officeDocument/2006/relationships/hyperlink" Id="rId98" Target="https://doi.org/10.1099/vir.0.81811-0" TargetMode="External" /><Relationship Type="http://schemas.openxmlformats.org/officeDocument/2006/relationships/hyperlink" Id="rId145" Target="https://doi.org/10.1111/bij.12024" TargetMode="External" /><Relationship Type="http://schemas.openxmlformats.org/officeDocument/2006/relationships/hyperlink" Id="rId59" Target="https://doi.org/10.1111/j.1095-8339.2009.00999.x" TargetMode="External" /><Relationship Type="http://schemas.openxmlformats.org/officeDocument/2006/relationships/hyperlink" Id="rId127" Target="https://doi.org/10.1111/jph.12420" TargetMode="External" /><Relationship Type="http://schemas.openxmlformats.org/officeDocument/2006/relationships/hyperlink" Id="rId119" Target="https://doi.org/10.1111/zsc.12013" TargetMode="External" /><Relationship Type="http://schemas.openxmlformats.org/officeDocument/2006/relationships/hyperlink" Id="rId85" Target="https://doi.org/10.11158/saa.26.3.10" TargetMode="External" /><Relationship Type="http://schemas.openxmlformats.org/officeDocument/2006/relationships/hyperlink" Id="rId63" Target="https://doi.org/10.11646/zoosymposia.6.1.28" TargetMode="External" /><Relationship Type="http://schemas.openxmlformats.org/officeDocument/2006/relationships/hyperlink" Id="rId46"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9" Target="https://doi.org/10.1590/s0103-90162010000300014" TargetMode="External" /><Relationship Type="http://schemas.openxmlformats.org/officeDocument/2006/relationships/hyperlink" Id="rId121"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37" Target="https://doi.org/10.1590/s1519-566x2008000300011" TargetMode="External" /><Relationship Type="http://schemas.openxmlformats.org/officeDocument/2006/relationships/hyperlink" Id="rId159"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7" Target="https://doi.org/10.1653/0015-4040(2005)088[0195:pomava]2.0.co;2" TargetMode="External" /><Relationship Type="http://schemas.openxmlformats.org/officeDocument/2006/relationships/hyperlink" Id="rId125"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7" Target="https://doi.org/10.17525/vrr.v16i1-2.51" TargetMode="External" /><Relationship Type="http://schemas.openxmlformats.org/officeDocument/2006/relationships/hyperlink" Id="rId94" Target="https://doi.org/10.17660/actahortic.1985.164.27" TargetMode="External" /><Relationship Type="http://schemas.openxmlformats.org/officeDocument/2006/relationships/hyperlink" Id="rId77" Target="https://doi.org/10.21273/hortsci.19.2.385" TargetMode="External" /><Relationship Type="http://schemas.openxmlformats.org/officeDocument/2006/relationships/hyperlink" Id="rId79" Target="https://doi.org/10.21273/hortsci.50.7.957" TargetMode="External" /><Relationship Type="http://schemas.openxmlformats.org/officeDocument/2006/relationships/hyperlink" Id="rId75" Target="https://doi.org/10.21273/horttech.18.3.343" TargetMode="External" /><Relationship Type="http://schemas.openxmlformats.org/officeDocument/2006/relationships/hyperlink" Id="rId111" Target="https://doi.org/10.21273/jashs.128.4.0575" TargetMode="External" /><Relationship Type="http://schemas.openxmlformats.org/officeDocument/2006/relationships/hyperlink" Id="rId43" Target="https://doi.org/10.2307/2422013" TargetMode="External" /><Relationship Type="http://schemas.openxmlformats.org/officeDocument/2006/relationships/hyperlink" Id="rId92" Target="https://doi.org/10.2307/3493667" TargetMode="External" /><Relationship Type="http://schemas.openxmlformats.org/officeDocument/2006/relationships/hyperlink" Id="rId57" Target="https://doi.org/10.3186/jjphytopath.42.156" TargetMode="External" /><Relationship Type="http://schemas.openxmlformats.org/officeDocument/2006/relationships/hyperlink" Id="rId55" Target="https://doi.org/10.32473/edis-hs1348-2019" TargetMode="External" /><Relationship Type="http://schemas.openxmlformats.org/officeDocument/2006/relationships/hyperlink" Id="rId115" Target="https://doi.org/10.3389/fpls.2020.584981" TargetMode="External" /><Relationship Type="http://schemas.openxmlformats.org/officeDocument/2006/relationships/hyperlink" Id="rId109" Target="https://doi.org/10.3390/plants9050558" TargetMode="External" /></Relationships>
</file>

<file path=word/_rels/footnotes.xml.rels><?xml version="1.0" encoding="UTF-8"?><Relationships xmlns="http://schemas.openxmlformats.org/package/2006/relationships"><Relationship Type="http://schemas.openxmlformats.org/officeDocument/2006/relationships/hyperlink" Id="rId151" Target="https://doi.org/10.1002/ps.4918" TargetMode="External" /><Relationship Type="http://schemas.openxmlformats.org/officeDocument/2006/relationships/hyperlink" Id="rId133" Target="https://doi.org/10.1002/ps.6341" TargetMode="External" /><Relationship Type="http://schemas.openxmlformats.org/officeDocument/2006/relationships/hyperlink" Id="rId104" Target="https://doi.org/10.1007/s00705-009-0395-8" TargetMode="External" /><Relationship Type="http://schemas.openxmlformats.org/officeDocument/2006/relationships/hyperlink" Id="rId123" Target="https://doi.org/10.1007/s00705-012-1506-5" TargetMode="External" /><Relationship Type="http://schemas.openxmlformats.org/officeDocument/2006/relationships/hyperlink" Id="rId70"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2" Target="https://doi.org/10.1007/s10327-009-0167-z" TargetMode="External" /><Relationship Type="http://schemas.openxmlformats.org/officeDocument/2006/relationships/hyperlink" Id="rId135" Target="https://doi.org/10.1007/s10493-012-9632-z" TargetMode="External" /><Relationship Type="http://schemas.openxmlformats.org/officeDocument/2006/relationships/hyperlink" Id="rId117" Target="https://doi.org/10.1007/s10526-016-9718-3" TargetMode="External" /><Relationship Type="http://schemas.openxmlformats.org/officeDocument/2006/relationships/hyperlink" Id="rId81" Target="https://doi.org/10.1007/s10526-017-9784-1" TargetMode="External" /><Relationship Type="http://schemas.openxmlformats.org/officeDocument/2006/relationships/hyperlink" Id="rId67" Target="https://doi.org/10.1007/s10658-019-01854-4" TargetMode="External" /><Relationship Type="http://schemas.openxmlformats.org/officeDocument/2006/relationships/hyperlink" Id="rId72" Target="https://doi.org/10.1007/s13314-018-0295-4"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53" Target="https://doi.org/10.1016/j.pestbp.2021.104855" TargetMode="External" /><Relationship Type="http://schemas.openxmlformats.org/officeDocument/2006/relationships/hyperlink" Id="rId96" Target="https://doi.org/10.1016/j.virol.2017.04.027" TargetMode="External" /><Relationship Type="http://schemas.openxmlformats.org/officeDocument/2006/relationships/hyperlink" Id="rId143" Target="https://doi.org/10.1017/s0007485309990216" TargetMode="External" /><Relationship Type="http://schemas.openxmlformats.org/officeDocument/2006/relationships/hyperlink" Id="rId129" Target="https://doi.org/10.1023/a:1020661215827" TargetMode="External" /><Relationship Type="http://schemas.openxmlformats.org/officeDocument/2006/relationships/hyperlink" Id="rId53" Target="https://doi.org/10.1023/a:1021103209193" TargetMode="External" /><Relationship Type="http://schemas.openxmlformats.org/officeDocument/2006/relationships/hyperlink" Id="rId65" Target="https://doi.org/10.1023/b:appa.0000006548.01625.72" TargetMode="External" /><Relationship Type="http://schemas.openxmlformats.org/officeDocument/2006/relationships/hyperlink" Id="rId100" Target="https://doi.org/10.1023/b:appa.0000006550.88615.10" TargetMode="External" /><Relationship Type="http://schemas.openxmlformats.org/officeDocument/2006/relationships/hyperlink" Id="rId147" Target="https://doi.org/10.1071/ea99028" TargetMode="External" /><Relationship Type="http://schemas.openxmlformats.org/officeDocument/2006/relationships/hyperlink" Id="rId61" Target="https://doi.org/10.1080/09583150600700172" TargetMode="External" /><Relationship Type="http://schemas.openxmlformats.org/officeDocument/2006/relationships/hyperlink" Id="rId48" Target="https://doi.org/10.1093/jee/toaa007" TargetMode="External" /><Relationship Type="http://schemas.openxmlformats.org/officeDocument/2006/relationships/hyperlink" Id="rId131" Target="https://doi.org/10.1093/jee/toz258" TargetMode="External" /><Relationship Type="http://schemas.openxmlformats.org/officeDocument/2006/relationships/hyperlink" Id="rId155" Target="https://doi.org/10.1094/PDIS-12-20-2736-PDN" TargetMode="External" /><Relationship Type="http://schemas.openxmlformats.org/officeDocument/2006/relationships/hyperlink" Id="rId113" Target="https://doi.org/10.1094/pdis-10-15-1205-pdn" TargetMode="External" /><Relationship Type="http://schemas.openxmlformats.org/officeDocument/2006/relationships/hyperlink" Id="rId50" Target="https://doi.org/10.1094/php-br-15-0018" TargetMode="External" /><Relationship Type="http://schemas.openxmlformats.org/officeDocument/2006/relationships/hyperlink" Id="rId83" Target="https://doi.org/10.1094/phyto-03-15-0064-r" TargetMode="External" /><Relationship Type="http://schemas.openxmlformats.org/officeDocument/2006/relationships/hyperlink" Id="rId139" Target="https://doi.org/10.1094/phyto-07-19-0253-fi" TargetMode="External" /><Relationship Type="http://schemas.openxmlformats.org/officeDocument/2006/relationships/hyperlink" Id="rId141"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7" Target="https://doi.org/10.1099/jgv.0.001020" TargetMode="External" /><Relationship Type="http://schemas.openxmlformats.org/officeDocument/2006/relationships/hyperlink" Id="rId98" Target="https://doi.org/10.1099/vir.0.81811-0" TargetMode="External" /><Relationship Type="http://schemas.openxmlformats.org/officeDocument/2006/relationships/hyperlink" Id="rId145" Target="https://doi.org/10.1111/bij.12024" TargetMode="External" /><Relationship Type="http://schemas.openxmlformats.org/officeDocument/2006/relationships/hyperlink" Id="rId59" Target="https://doi.org/10.1111/j.1095-8339.2009.00999.x" TargetMode="External" /><Relationship Type="http://schemas.openxmlformats.org/officeDocument/2006/relationships/hyperlink" Id="rId127" Target="https://doi.org/10.1111/jph.12420" TargetMode="External" /><Relationship Type="http://schemas.openxmlformats.org/officeDocument/2006/relationships/hyperlink" Id="rId119" Target="https://doi.org/10.1111/zsc.12013" TargetMode="External" /><Relationship Type="http://schemas.openxmlformats.org/officeDocument/2006/relationships/hyperlink" Id="rId85" Target="https://doi.org/10.11158/saa.26.3.10" TargetMode="External" /><Relationship Type="http://schemas.openxmlformats.org/officeDocument/2006/relationships/hyperlink" Id="rId63" Target="https://doi.org/10.11646/zoosymposia.6.1.28" TargetMode="External" /><Relationship Type="http://schemas.openxmlformats.org/officeDocument/2006/relationships/hyperlink" Id="rId46"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9" Target="https://doi.org/10.1590/s0103-90162010000300014" TargetMode="External" /><Relationship Type="http://schemas.openxmlformats.org/officeDocument/2006/relationships/hyperlink" Id="rId121"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37" Target="https://doi.org/10.1590/s1519-566x2008000300011" TargetMode="External" /><Relationship Type="http://schemas.openxmlformats.org/officeDocument/2006/relationships/hyperlink" Id="rId159"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7" Target="https://doi.org/10.1653/0015-4040(2005)088[0195:pomava]2.0.co;2" TargetMode="External" /><Relationship Type="http://schemas.openxmlformats.org/officeDocument/2006/relationships/hyperlink" Id="rId125"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7" Target="https://doi.org/10.17525/vrr.v16i1-2.51" TargetMode="External" /><Relationship Type="http://schemas.openxmlformats.org/officeDocument/2006/relationships/hyperlink" Id="rId94" Target="https://doi.org/10.17660/actahortic.1985.164.27" TargetMode="External" /><Relationship Type="http://schemas.openxmlformats.org/officeDocument/2006/relationships/hyperlink" Id="rId77" Target="https://doi.org/10.21273/hortsci.19.2.385" TargetMode="External" /><Relationship Type="http://schemas.openxmlformats.org/officeDocument/2006/relationships/hyperlink" Id="rId79" Target="https://doi.org/10.21273/hortsci.50.7.957" TargetMode="External" /><Relationship Type="http://schemas.openxmlformats.org/officeDocument/2006/relationships/hyperlink" Id="rId75" Target="https://doi.org/10.21273/horttech.18.3.343" TargetMode="External" /><Relationship Type="http://schemas.openxmlformats.org/officeDocument/2006/relationships/hyperlink" Id="rId111" Target="https://doi.org/10.21273/jashs.128.4.0575" TargetMode="External" /><Relationship Type="http://schemas.openxmlformats.org/officeDocument/2006/relationships/hyperlink" Id="rId43" Target="https://doi.org/10.2307/2422013" TargetMode="External" /><Relationship Type="http://schemas.openxmlformats.org/officeDocument/2006/relationships/hyperlink" Id="rId92" Target="https://doi.org/10.2307/3493667" TargetMode="External" /><Relationship Type="http://schemas.openxmlformats.org/officeDocument/2006/relationships/hyperlink" Id="rId57" Target="https://doi.org/10.3186/jjphytopath.42.156" TargetMode="External" /><Relationship Type="http://schemas.openxmlformats.org/officeDocument/2006/relationships/hyperlink" Id="rId55" Target="https://doi.org/10.32473/edis-hs1348-2019" TargetMode="External" /><Relationship Type="http://schemas.openxmlformats.org/officeDocument/2006/relationships/hyperlink" Id="rId115" Target="https://doi.org/10.3389/fpls.2020.584981" TargetMode="External" /><Relationship Type="http://schemas.openxmlformats.org/officeDocument/2006/relationships/hyperlink" Id="rId109" Target="https://doi.org/10.3390/plants905055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2021-08-13T21:24:38Z</dcterms:created>
  <dcterms:modified xsi:type="dcterms:W3CDTF">2021-08-13T21:24:38Z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