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7343E2">
      <w:pPr>
        <w:pStyle w:val="Title"/>
        <w:spacing w:line="480" w:lineRule="auto"/>
        <w:jc w:val="left"/>
        <w:rPr>
          <w:color w:val="auto"/>
          <w:sz w:val="24"/>
          <w:szCs w:val="24"/>
        </w:rPr>
      </w:pPr>
      <w:r w:rsidRPr="006360F6">
        <w:rPr>
          <w:color w:val="auto"/>
          <w:sz w:val="24"/>
          <w:szCs w:val="24"/>
        </w:rPr>
        <w:t xml:space="preserve">Investigating behavior of the potato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proofErr w:type="spellStart"/>
      <w:r w:rsidRPr="006360F6">
        <w:rPr>
          <w:color w:val="auto"/>
          <w:sz w:val="24"/>
          <w:szCs w:val="24"/>
        </w:rPr>
        <w:t>Triozidae</w:t>
      </w:r>
      <w:proofErr w:type="spellEnd"/>
      <w:r w:rsidRPr="006360F6">
        <w:rPr>
          <w:color w:val="auto"/>
          <w:sz w:val="24"/>
          <w:szCs w:val="24"/>
        </w:rPr>
        <w:t>) 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bookmarkStart w:id="0" w:name="_GoBack"/>
      <w:bookmarkEnd w:id="0"/>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lastRenderedPageBreak/>
        <w:t>Abstract</w:t>
      </w:r>
      <w:r w:rsidRPr="003D6540">
        <w:t xml:space="preserve"> </w:t>
      </w:r>
    </w:p>
    <w:p w14:paraId="6C16A0E5" w14:textId="61AAB3C8" w:rsidR="00684F30" w:rsidRDefault="007861F7" w:rsidP="007861F7">
      <w:pPr>
        <w:spacing w:line="480" w:lineRule="auto"/>
      </w:pPr>
      <w:r w:rsidRPr="008034C6">
        <w:t xml:space="preserve">The potato/tomato psyllid </w:t>
      </w:r>
      <w:proofErr w:type="spellStart"/>
      <w:r w:rsidRPr="002A5DED">
        <w:rPr>
          <w:i/>
          <w:iCs/>
        </w:rPr>
        <w:t>Bactericera</w:t>
      </w:r>
      <w:proofErr w:type="spellEnd"/>
      <w:r w:rsidRPr="002A5DED">
        <w:rPr>
          <w:i/>
          <w:iCs/>
        </w:rPr>
        <w:t xml:space="preserve"> </w:t>
      </w:r>
      <w:proofErr w:type="spellStart"/>
      <w:r w:rsidRPr="002A5DED">
        <w:rPr>
          <w:i/>
          <w:iCs/>
        </w:rPr>
        <w:t>cockerelli</w:t>
      </w:r>
      <w:proofErr w:type="spellEnd"/>
      <w:r w:rsidRPr="008034C6">
        <w:t xml:space="preserve"> (</w:t>
      </w:r>
      <w:proofErr w:type="spellStart"/>
      <w:r w:rsidRPr="008034C6">
        <w:t>Šulc</w:t>
      </w:r>
      <w:proofErr w:type="spellEnd"/>
      <w:r w:rsidRPr="008034C6">
        <w:t xml:space="preserve">) (Hemiptera: </w:t>
      </w:r>
      <w:proofErr w:type="spellStart"/>
      <w:r w:rsidRPr="008034C6">
        <w:t>Triozidae</w:t>
      </w:r>
      <w:proofErr w:type="spellEnd"/>
      <w:r w:rsidRPr="008034C6">
        <w:t>) transmits “</w:t>
      </w:r>
      <w:proofErr w:type="spellStart"/>
      <w:r w:rsidRPr="009E18BA">
        <w:rPr>
          <w:i/>
          <w:iCs/>
        </w:rPr>
        <w:t>Candidatus</w:t>
      </w:r>
      <w:proofErr w:type="spellEnd"/>
      <w:r w:rsidRPr="008034C6">
        <w:t xml:space="preserve"> </w:t>
      </w:r>
      <w:proofErr w:type="spellStart"/>
      <w:r w:rsidRPr="009E18BA">
        <w:t>Liberibacter</w:t>
      </w:r>
      <w:proofErr w:type="spellEnd"/>
      <w:r w:rsidRPr="009E18BA">
        <w:t xml:space="preserve"> solanacearum</w:t>
      </w:r>
      <w:r w:rsidRPr="008034C6">
        <w:t>” (</w:t>
      </w:r>
      <w:proofErr w:type="spellStart"/>
      <w:r w:rsidRPr="008034C6">
        <w:t>Lso</w:t>
      </w:r>
      <w:proofErr w:type="spellEnd"/>
      <w:r w:rsidRPr="008034C6">
        <w:t>) (also known as “</w:t>
      </w:r>
      <w:proofErr w:type="spellStart"/>
      <w:r w:rsidRPr="009E18BA">
        <w:rPr>
          <w:i/>
          <w:iCs/>
        </w:rPr>
        <w:t>Candidatus</w:t>
      </w:r>
      <w:proofErr w:type="spellEnd"/>
      <w:r w:rsidRPr="008034C6">
        <w:t xml:space="preserve"> </w:t>
      </w:r>
      <w:proofErr w:type="spellStart"/>
      <w:r w:rsidRPr="009E18BA">
        <w:t>Liberibacter</w:t>
      </w:r>
      <w:proofErr w:type="spellEnd"/>
      <w:r w:rsidRPr="009E18BA">
        <w:t xml:space="preserve"> </w:t>
      </w:r>
      <w:proofErr w:type="spellStart"/>
      <w:r w:rsidRPr="009E18BA">
        <w:t>psyllaurous</w:t>
      </w:r>
      <w:proofErr w:type="spellEnd"/>
      <w:r w:rsidRPr="008034C6">
        <w:t xml:space="preserve">”), the bacterium associated with zebra chip disease (ZC) in potato. When disease incidence is high, ZC causes large economic losses through reductions in potato yield and tuber quality. No commercial potato variety has been found resistant to the pathogen. We evaluated host acceptance behaviors using no-choice assays on </w:t>
      </w:r>
      <w:r w:rsidR="00E26281">
        <w:t xml:space="preserve">three </w:t>
      </w:r>
      <w:r w:rsidRPr="008034C6">
        <w:t xml:space="preserve">breeding clones derived from </w:t>
      </w:r>
      <w:r w:rsidRPr="002A5DED">
        <w:rPr>
          <w:i/>
          <w:iCs/>
        </w:rPr>
        <w:t xml:space="preserve">Solanum </w:t>
      </w:r>
      <w:proofErr w:type="spellStart"/>
      <w:r w:rsidRPr="002A5DED">
        <w:rPr>
          <w:i/>
          <w:iCs/>
        </w:rPr>
        <w:t>chacoense</w:t>
      </w:r>
      <w:proofErr w:type="spellEnd"/>
      <w:r w:rsidRPr="008034C6">
        <w:t xml:space="preserve"> Bitter with putative resistance to </w:t>
      </w:r>
      <w:proofErr w:type="spellStart"/>
      <w:r w:rsidRPr="008034C6">
        <w:t>Lso</w:t>
      </w:r>
      <w:proofErr w:type="spellEnd"/>
      <w:r w:rsidRPr="008034C6">
        <w:t xml:space="preserve"> and/or ZC as part of an effort to determine if the resistance observed in those breeding clones was related to </w:t>
      </w:r>
      <w:r w:rsidR="003A2007">
        <w:t>effects on</w:t>
      </w:r>
      <w:r w:rsidRPr="008034C6">
        <w:t xml:space="preserve"> psyllid settling behavior. </w:t>
      </w:r>
      <w:r>
        <w:t>We also counted the number of eggs laid and nymphs hatched on the different genotypes to observe any differences in reproduction.</w:t>
      </w:r>
      <w:r w:rsidRPr="008034C6">
        <w:t xml:space="preserve"> The potato variety ‘Russet Burbank’ was used as a susceptible control. Probing frequency and female walking duration w</w:t>
      </w:r>
      <w:r>
        <w:t xml:space="preserve">ere greater </w:t>
      </w:r>
      <w:r w:rsidRPr="008034C6">
        <w:t>on Russet Burbank</w:t>
      </w:r>
      <w:r>
        <w:t xml:space="preserve"> than the other</w:t>
      </w:r>
      <w:r w:rsidRPr="008034C6">
        <w:t xml:space="preserve"> genotypes. Oviposition did not differ among genotypes</w:t>
      </w:r>
      <w:r w:rsidR="003A3E0C">
        <w:t xml:space="preserve">. However, </w:t>
      </w:r>
      <w:r w:rsidR="003A2007">
        <w:t xml:space="preserve">female psyllids on </w:t>
      </w:r>
      <w:r w:rsidR="00E26281">
        <w:t>two of the</w:t>
      </w:r>
      <w:r w:rsidRPr="008034C6">
        <w:t xml:space="preserve"> putatively resistant genotypes </w:t>
      </w:r>
      <w:r>
        <w:t xml:space="preserve">displayed reduced fertility </w:t>
      </w:r>
      <w:r w:rsidRPr="008034C6">
        <w:t xml:space="preserve">18-24 days </w:t>
      </w:r>
      <w:r>
        <w:t>a</w:t>
      </w:r>
      <w:r w:rsidRPr="008034C6">
        <w:t>fter confinement with a male</w:t>
      </w:r>
      <w:r w:rsidR="003A3E0C">
        <w:t>, relative to females on Russet Burbank</w:t>
      </w:r>
      <w:r>
        <w:t xml:space="preserve">. </w:t>
      </w:r>
      <w:commentRangeStart w:id="1"/>
      <w:commentRangeEnd w:id="1"/>
      <w:r w:rsidRPr="008034C6">
        <w:t xml:space="preserve">These results suggest that although the germplasms display minor abiotic activity on psyllid fertility, putative resistance </w:t>
      </w:r>
      <w:r w:rsidR="003A3E0C">
        <w:t xml:space="preserve">to </w:t>
      </w:r>
      <w:proofErr w:type="spellStart"/>
      <w:r w:rsidR="003A3E0C">
        <w:t>Lso</w:t>
      </w:r>
      <w:proofErr w:type="spellEnd"/>
      <w:r w:rsidR="003A3E0C">
        <w:t xml:space="preserve"> </w:t>
      </w:r>
      <w:r w:rsidRPr="008034C6">
        <w:t>may be more strongly linked with resistance to the pathogen</w:t>
      </w:r>
      <w:r w:rsidR="00CF1B5C">
        <w:t xml:space="preserve"> rather than effects on settling behaviors</w:t>
      </w:r>
      <w:r w:rsidRPr="008034C6">
        <w:t>.</w:t>
      </w:r>
    </w:p>
    <w:p w14:paraId="4074061F" w14:textId="1BADE583" w:rsidR="00684F30" w:rsidRDefault="00684F30" w:rsidP="007861F7">
      <w:pPr>
        <w:spacing w:line="480" w:lineRule="auto"/>
      </w:pPr>
    </w:p>
    <w:p w14:paraId="605E8C68" w14:textId="77777777" w:rsidR="005A598E" w:rsidRPr="005A598E" w:rsidRDefault="005A598E" w:rsidP="005A598E">
      <w:pPr>
        <w:pStyle w:val="BodyText"/>
        <w:spacing w:line="480" w:lineRule="auto"/>
        <w:rPr>
          <w:b/>
          <w:lang w:val="es-419"/>
        </w:rPr>
      </w:pPr>
      <w:r w:rsidRPr="005A598E">
        <w:rPr>
          <w:b/>
          <w:lang w:val="es-419"/>
        </w:rPr>
        <w:t>Resumen</w:t>
      </w:r>
    </w:p>
    <w:p w14:paraId="51AB0FF0" w14:textId="6CBFF464" w:rsidR="00627039" w:rsidRPr="005A598E" w:rsidRDefault="005A598E" w:rsidP="005A598E">
      <w:pPr>
        <w:pStyle w:val="BodyText"/>
        <w:spacing w:line="480" w:lineRule="auto"/>
        <w:rPr>
          <w:bCs/>
          <w:lang w:val="es-419"/>
        </w:rPr>
      </w:pPr>
      <w:r w:rsidRPr="005A598E">
        <w:rPr>
          <w:bCs/>
          <w:lang w:val="es-419"/>
        </w:rPr>
        <w:lastRenderedPageBreak/>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5A598E">
        <w:rPr>
          <w:bCs/>
          <w:lang w:val="es-419"/>
        </w:rPr>
        <w:t>Candidatus</w:t>
      </w:r>
      <w:proofErr w:type="spellEnd"/>
      <w:r w:rsidRPr="005A598E">
        <w:rPr>
          <w:bCs/>
          <w:lang w:val="es-419"/>
        </w:rPr>
        <w:t xml:space="preserve"> </w:t>
      </w:r>
      <w:proofErr w:type="spellStart"/>
      <w:r w:rsidRPr="005A598E">
        <w:rPr>
          <w:bCs/>
          <w:i/>
          <w:iCs/>
          <w:lang w:val="es-419"/>
        </w:rPr>
        <w:t>Liberibacter</w:t>
      </w:r>
      <w:proofErr w:type="spellEnd"/>
      <w:r w:rsidRPr="005A598E">
        <w:rPr>
          <w:bCs/>
          <w:i/>
          <w:iCs/>
          <w:lang w:val="es-419"/>
        </w:rPr>
        <w:t xml:space="preserve"> </w:t>
      </w:r>
      <w:proofErr w:type="spellStart"/>
      <w:r w:rsidRPr="005A598E">
        <w:rPr>
          <w:bCs/>
          <w:i/>
          <w:i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5A598E">
        <w:rPr>
          <w:bCs/>
          <w:lang w:val="es-419"/>
        </w:rPr>
        <w:t>Candidatus</w:t>
      </w:r>
      <w:proofErr w:type="spellEnd"/>
      <w:r w:rsidRPr="005A598E">
        <w:rPr>
          <w:bCs/>
          <w:lang w:val="es-419"/>
        </w:rPr>
        <w:t xml:space="preserve"> </w:t>
      </w:r>
      <w:proofErr w:type="spellStart"/>
      <w:r w:rsidRPr="005A598E">
        <w:rPr>
          <w:bCs/>
          <w:i/>
          <w:iCs/>
          <w:lang w:val="es-419"/>
        </w:rPr>
        <w:t>Liberibacter</w:t>
      </w:r>
      <w:proofErr w:type="spellEnd"/>
      <w:r w:rsidRPr="005A598E">
        <w:rPr>
          <w:bCs/>
          <w:i/>
          <w:iCs/>
          <w:lang w:val="es-419"/>
        </w:rPr>
        <w:t xml:space="preserve"> </w:t>
      </w:r>
      <w:proofErr w:type="spellStart"/>
      <w:r w:rsidRPr="005A598E">
        <w:rPr>
          <w:bCs/>
          <w:i/>
          <w:i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resistencia putativa a </w:t>
      </w:r>
      <w:proofErr w:type="spellStart"/>
      <w:r w:rsidRPr="005A598E">
        <w:rPr>
          <w:bCs/>
          <w:lang w:val="es-419"/>
        </w:rPr>
        <w:t>Lso</w:t>
      </w:r>
      <w:proofErr w:type="spellEnd"/>
      <w:r w:rsidRPr="005A598E">
        <w:rPr>
          <w:bCs/>
          <w:lang w:val="es-419"/>
        </w:rPr>
        <w:t xml:space="preserve"> y / o PM, nosotros quisimos investigar si tal resistencia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proofErr w:type="spellStart"/>
      <w:r w:rsidRPr="005A598E">
        <w:rPr>
          <w:bCs/>
          <w:lang w:val="es-419"/>
        </w:rPr>
        <w:t>Russet</w:t>
      </w:r>
      <w:proofErr w:type="spellEnd"/>
      <w:r w:rsidRPr="005A598E">
        <w:rPr>
          <w:bCs/>
          <w:lang w:val="es-419"/>
        </w:rPr>
        <w:t xml:space="preserve"> Burbank"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Pr="005A598E">
        <w:rPr>
          <w:bCs/>
          <w:lang w:val="es-419"/>
        </w:rPr>
        <w:t xml:space="preserve"> en los genotipos considerados como resistentes a PM. La eclosión de huevos fue mayor durante el último período de observación (18-20 días después del </w:t>
      </w:r>
      <w:r w:rsidR="008D4911" w:rsidRPr="005A598E">
        <w:rPr>
          <w:bCs/>
          <w:lang w:val="es-419"/>
        </w:rPr>
        <w:t>apareamiento)</w:t>
      </w:r>
      <w:r w:rsidRPr="005A598E">
        <w:rPr>
          <w:bCs/>
          <w:lang w:val="es-419"/>
        </w:rPr>
        <w:t xml:space="preserve"> en </w:t>
      </w:r>
      <w:proofErr w:type="spellStart"/>
      <w:r w:rsidRPr="005A598E">
        <w:rPr>
          <w:bCs/>
          <w:lang w:val="es-419"/>
        </w:rPr>
        <w:t>Russet</w:t>
      </w:r>
      <w:proofErr w:type="spellEnd"/>
      <w:r w:rsidRPr="005A598E">
        <w:rPr>
          <w:bCs/>
          <w:lang w:val="es-419"/>
        </w:rPr>
        <w:t xml:space="preserve"> Burbank que en los genotipos considerados como resistentes a PM.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resistencia </w:t>
      </w:r>
      <w:r w:rsidRPr="005A598E">
        <w:rPr>
          <w:bCs/>
          <w:lang w:val="es-419"/>
        </w:rPr>
        <w:lastRenderedPageBreak/>
        <w:t xml:space="preserve">no se debe a la reducción de los comportamientos de alimentación del </w:t>
      </w:r>
      <w:proofErr w:type="spellStart"/>
      <w:r w:rsidRPr="005A598E">
        <w:rPr>
          <w:bCs/>
          <w:lang w:val="es-419"/>
        </w:rPr>
        <w:t>psílido</w:t>
      </w:r>
      <w:proofErr w:type="spellEnd"/>
      <w:r w:rsidRPr="005A598E">
        <w:rPr>
          <w:bCs/>
          <w:lang w:val="es-419"/>
        </w:rPr>
        <w:t>, sino que puede estar más fuertemente relacionada con la resistencia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2"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2"/>
    </w:p>
    <w:p w14:paraId="11F8AC8A" w14:textId="0D7C1884"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estern United States (</w:t>
      </w:r>
      <w:proofErr w:type="spellStart"/>
      <w:r w:rsidRPr="003D6540">
        <w:t>Munyaneza</w:t>
      </w:r>
      <w:proofErr w:type="spellEnd"/>
      <w:r w:rsidRPr="003D6540">
        <w:t xml:space="preserve">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1B7E3B5D"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52DD2ED8"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fried (Navarre et al. 2009, Alvarado et al. 2012, Buchman et al. 2012). This condition is known as zebra chip disease (ZC) (</w:t>
      </w:r>
      <w:proofErr w:type="spellStart"/>
      <w:r w:rsidR="00D2725D" w:rsidRPr="00D677A8">
        <w:t>Munyaneza</w:t>
      </w:r>
      <w:proofErr w:type="spellEnd"/>
      <w:r w:rsidR="00D2725D" w:rsidRPr="00D677A8">
        <w:t xml:space="preserve"> et al. 2007</w:t>
      </w:r>
      <w:r w:rsidRPr="00D677A8">
        <w:t>). Z</w:t>
      </w:r>
      <w:r w:rsidR="00BB2E7E">
        <w:t>C</w:t>
      </w:r>
      <w:r w:rsidRPr="00D677A8">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5E3135B6"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52877ECA" w:rsidR="003B6626" w:rsidRPr="00D677A8" w:rsidRDefault="009D15EB" w:rsidP="007343E2">
      <w:pPr>
        <w:pStyle w:val="BodyText"/>
        <w:spacing w:line="480" w:lineRule="auto"/>
      </w:pPr>
      <w:r w:rsidRPr="00D677A8">
        <w:lastRenderedPageBreak/>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t>Munyaneza</w:t>
      </w:r>
      <w:proofErr w:type="spellEnd"/>
      <w:r w:rsidRPr="00D677A8">
        <w:t xml:space="preserve"> 2012,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w:t>
      </w:r>
      <w:proofErr w:type="spellStart"/>
      <w:r w:rsidRPr="00D677A8">
        <w:t>Munyaneza</w:t>
      </w:r>
      <w:proofErr w:type="spellEnd"/>
      <w:r w:rsidRPr="00D677A8">
        <w:t xml:space="preserve"> et al. 2011, Anderson et al. 2012).</w:t>
      </w:r>
    </w:p>
    <w:p w14:paraId="11F8AC92" w14:textId="15871ABE" w:rsidR="003B6626" w:rsidRPr="00D677A8" w:rsidRDefault="009D15EB" w:rsidP="007343E2">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shown less </w:t>
      </w:r>
      <w:proofErr w:type="spellStart"/>
      <w:r w:rsidRPr="00D677A8">
        <w:t>Lso</w:t>
      </w:r>
      <w:proofErr w:type="spellEnd"/>
      <w:r w:rsidRPr="00D677A8">
        <w:t xml:space="preserve"> infection and/or ZC symptoms than other genotypes tested. By determining how these genotypes resist</w:t>
      </w:r>
      <w:r w:rsidR="00B95F4D">
        <w:t xml:space="preserve"> or </w:t>
      </w:r>
      <w:r w:rsidRPr="00D677A8">
        <w:t xml:space="preserve">tolerate </w:t>
      </w:r>
      <w:r w:rsidR="00B95F4D">
        <w:t xml:space="preserve">either </w:t>
      </w:r>
      <w:proofErr w:type="spellStart"/>
      <w:r w:rsidRPr="00D677A8">
        <w:t>Lso</w:t>
      </w:r>
      <w:proofErr w:type="spellEnd"/>
      <w:r w:rsidRPr="00D677A8">
        <w:t xml:space="preserve"> or the psyllid vector </w:t>
      </w:r>
      <w:r w:rsidR="00B95F4D">
        <w:t xml:space="preserve">itself </w:t>
      </w:r>
      <w:r w:rsidRPr="00D677A8">
        <w:t xml:space="preserve">(Kennedy et al. 1987, </w:t>
      </w:r>
      <w:proofErr w:type="spellStart"/>
      <w:r w:rsidRPr="00D677A8">
        <w:t>Putten</w:t>
      </w:r>
      <w:proofErr w:type="spellEnd"/>
      <w:r w:rsidRPr="00D677A8">
        <w:t xml:space="preserve">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593E1618" w:rsidR="003B6626" w:rsidRPr="00D677A8" w:rsidRDefault="009D15EB" w:rsidP="007343E2">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 xml:space="preserve">Solanum </w:t>
      </w:r>
      <w:proofErr w:type="spellStart"/>
      <w:r w:rsidRPr="00D677A8">
        <w:rPr>
          <w:i/>
        </w:rPr>
        <w:t>chacoense</w:t>
      </w:r>
      <w:proofErr w:type="spellEnd"/>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w:t>
      </w:r>
      <w:proofErr w:type="spellStart"/>
      <w:r w:rsidR="003D05E4">
        <w:t>Munyaneza</w:t>
      </w:r>
      <w:proofErr w:type="spellEnd"/>
      <w:r w:rsidR="003D05E4">
        <w:t xml:space="preserve">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exhibit</w:t>
      </w:r>
      <w:r w:rsidR="00F619AF">
        <w:t>s</w:t>
      </w:r>
      <w:r w:rsidRPr="00D677A8">
        <w:t xml:space="preserve"> high tolerance and low susceptibility to </w:t>
      </w:r>
      <w:proofErr w:type="spellStart"/>
      <w:r w:rsidRPr="00D677A8">
        <w:t>Lso</w:t>
      </w:r>
      <w:proofErr w:type="spellEnd"/>
      <w:r w:rsidRPr="00D677A8">
        <w:t xml:space="preserve"> (Rashidi et al. 2017</w:t>
      </w:r>
      <w:r w:rsidR="00255431" w:rsidRPr="00D677A8">
        <w:t>)</w:t>
      </w:r>
      <w:r w:rsidR="00255431">
        <w:t>.</w:t>
      </w:r>
      <w:r w:rsidR="00255431" w:rsidRPr="00D677A8">
        <w:t xml:space="preserve"> </w:t>
      </w:r>
      <w:r w:rsidR="007C4FA0">
        <w:t>This</w:t>
      </w:r>
      <w:r w:rsidR="00255431">
        <w:t xml:space="preserve"> lo</w:t>
      </w:r>
      <w:r w:rsidR="002C64D8">
        <w:t xml:space="preserve">w susceptibility to </w:t>
      </w:r>
      <w:proofErr w:type="spellStart"/>
      <w:r w:rsidR="002C64D8">
        <w:t>Lso</w:t>
      </w:r>
      <w:proofErr w:type="spellEnd"/>
      <w:r w:rsidR="002C64D8">
        <w:t xml:space="preserve">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t>
      </w:r>
      <w:r w:rsidR="007453F0">
        <w:lastRenderedPageBreak/>
        <w:t xml:space="preserve">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part of why we observed </w:t>
      </w:r>
      <w:r w:rsidR="00F619AF">
        <w:t xml:space="preserve">any reduction in </w:t>
      </w:r>
      <w:proofErr w:type="spellStart"/>
      <w:r w:rsidR="00F619AF">
        <w:t>Lso</w:t>
      </w:r>
      <w:proofErr w:type="spellEnd"/>
      <w:r w:rsidR="00F619AF">
        <w:t xml:space="preserve"> transmission and/or ZC symptoms</w:t>
      </w:r>
      <w:r w:rsidR="005A5AC3">
        <w:t xml:space="preserve">. </w:t>
      </w:r>
      <w:r w:rsidRPr="00D677A8">
        <w:t xml:space="preserve">Our results will help </w:t>
      </w:r>
      <w:r w:rsidR="00BB395C">
        <w:t xml:space="preserve">to </w:t>
      </w:r>
      <w:r w:rsidRPr="00D677A8">
        <w:t xml:space="preserve">clarify potato-psyllid interactions on these genotypes, which will help 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7343E2">
      <w:pPr>
        <w:pStyle w:val="Heading1"/>
        <w:spacing w:line="480" w:lineRule="auto"/>
        <w:rPr>
          <w:color w:val="auto"/>
          <w:sz w:val="24"/>
          <w:szCs w:val="24"/>
        </w:rPr>
      </w:pPr>
      <w:bookmarkStart w:id="3" w:name="ch:mms"/>
      <w:r w:rsidRPr="00F619AF">
        <w:rPr>
          <w:color w:val="auto"/>
          <w:sz w:val="24"/>
          <w:szCs w:val="24"/>
        </w:rPr>
        <w:t>Materials and Methods</w:t>
      </w:r>
      <w:bookmarkEnd w:id="3"/>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248F0F98" w:rsidR="00E53852" w:rsidRPr="003D6540" w:rsidRDefault="00E53852" w:rsidP="007343E2">
      <w:pPr>
        <w:pStyle w:val="FirstParagraph"/>
        <w:spacing w:line="480" w:lineRule="auto"/>
      </w:pPr>
      <w:r w:rsidRPr="00A3526B">
        <w:t xml:space="preserve">A </w:t>
      </w:r>
      <w:proofErr w:type="spellStart"/>
      <w:r w:rsidRPr="00A3526B">
        <w:t>Lso</w:t>
      </w:r>
      <w:proofErr w:type="spellEnd"/>
      <w:r w:rsidRPr="00A3526B">
        <w:t xml:space="preserve">-positive potato psyllid colony </w:t>
      </w:r>
      <w:r w:rsidR="004F106F">
        <w:t>was</w:t>
      </w:r>
      <w:r>
        <w:t xml:space="preserve"> reared</w:t>
      </w:r>
      <w:r w:rsidRPr="003D6540">
        <w:t xml:space="preserve"> </w:t>
      </w:r>
      <w:r w:rsidR="009D1F7B">
        <w:t>in colonies with free access to</w:t>
      </w:r>
      <w:r w:rsidRPr="00A3526B">
        <w:t xml:space="preserve"> both Russet Burbank potatoes and ‘Yellow Pear’ tomatoes (</w:t>
      </w:r>
      <w:r w:rsidRPr="00A3526B">
        <w:rPr>
          <w:i/>
        </w:rPr>
        <w:t xml:space="preserve">Solanum </w:t>
      </w:r>
      <w:proofErr w:type="spellStart"/>
      <w:r w:rsidRPr="00A3526B">
        <w:rPr>
          <w:i/>
        </w:rPr>
        <w:t>lycopersicum</w:t>
      </w:r>
      <w:proofErr w:type="spellEnd"/>
      <w:r w:rsidRPr="003D6540">
        <w:t xml:space="preserve"> L.).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2207623F"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 xml:space="preserve">Solanum </w:t>
      </w:r>
      <w:proofErr w:type="spellStart"/>
      <w:r w:rsidRPr="00A3526B">
        <w:rPr>
          <w:i/>
        </w:rPr>
        <w:t>chacoense</w:t>
      </w:r>
      <w:proofErr w:type="spellEnd"/>
      <w:r w:rsidRPr="00A3526B">
        <w:t xml:space="preserve"> Bitter with putative </w:t>
      </w:r>
      <w:r w:rsidR="00A650FA">
        <w:t xml:space="preserve">relative </w:t>
      </w:r>
      <w:r w:rsidRPr="00A3526B">
        <w:t xml:space="preserve">resistance </w:t>
      </w:r>
      <w:r w:rsidR="00A650FA">
        <w:t xml:space="preserve">and/or 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Plants were grown in pots of approximately 8.5 cm length </w:t>
      </w:r>
      <m:oMath>
        <m:r>
          <w:rPr>
            <w:rFonts w:ascii="Cambria Math" w:hAnsi="Cambria Math"/>
          </w:rPr>
          <m:t>×</m:t>
        </m:r>
      </m:oMath>
      <w:r w:rsidRPr="003D6540">
        <w:t xml:space="preserve"> </w:t>
      </w:r>
      <w:r w:rsidRPr="003D6540">
        <w:lastRenderedPageBreak/>
        <w:t xml:space="preserve">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We used plants in their vegetative growth stage (growth stage II)</w:t>
      </w:r>
      <w:r w:rsidR="003A40EA">
        <w:t xml:space="preserve"> </w:t>
      </w:r>
      <w:r w:rsidRPr="003D6540">
        <w:t>(</w:t>
      </w:r>
      <w:proofErr w:type="spellStart"/>
      <w:r w:rsidRPr="003D6540">
        <w:t>Dwelle</w:t>
      </w:r>
      <w:proofErr w:type="spellEnd"/>
      <w:r w:rsidRPr="003D6540">
        <w:t xml:space="preserve"> et al. 2003)</w:t>
      </w:r>
      <w:r w:rsidR="003A40EA">
        <w:t xml:space="preserve"> for</w:t>
      </w:r>
      <w:r w:rsidR="00A436F3">
        <w:t xml:space="preserve"> all</w:t>
      </w:r>
      <w:r w:rsidR="003A40EA">
        <w:t xml:space="preserve"> experiments</w:t>
      </w:r>
      <w:r w:rsidRPr="003D6540">
        <w:t>.</w:t>
      </w:r>
    </w:p>
    <w:p w14:paraId="11F8AC99" w14:textId="62164B50" w:rsidR="003B6626" w:rsidRPr="00F619AF" w:rsidRDefault="009F261B" w:rsidP="007343E2">
      <w:pPr>
        <w:pStyle w:val="Heading2"/>
        <w:spacing w:line="480" w:lineRule="auto"/>
        <w:rPr>
          <w:color w:val="auto"/>
          <w:sz w:val="24"/>
          <w:szCs w:val="24"/>
        </w:rPr>
      </w:pPr>
      <w:r>
        <w:rPr>
          <w:color w:val="auto"/>
          <w:sz w:val="24"/>
          <w:szCs w:val="24"/>
        </w:rPr>
        <w:t xml:space="preserve">Psyllid Haplotype and </w:t>
      </w:r>
      <w:bookmarkStart w:id="4" w:name="sec:pcr"/>
      <w:proofErr w:type="spellStart"/>
      <w:r w:rsidR="009D15EB" w:rsidRPr="00F619AF">
        <w:rPr>
          <w:color w:val="auto"/>
          <w:sz w:val="24"/>
          <w:szCs w:val="24"/>
        </w:rPr>
        <w:t>Lso</w:t>
      </w:r>
      <w:proofErr w:type="spellEnd"/>
      <w:r w:rsidR="009D15EB" w:rsidRPr="00F619AF">
        <w:rPr>
          <w:color w:val="auto"/>
          <w:sz w:val="24"/>
          <w:szCs w:val="24"/>
        </w:rPr>
        <w:t xml:space="preserve"> Detection</w:t>
      </w:r>
      <w:bookmarkEnd w:id="4"/>
    </w:p>
    <w:p w14:paraId="25F79E66" w14:textId="77777777" w:rsidR="00D70FC3" w:rsidRPr="00E574CD" w:rsidRDefault="00D70FC3" w:rsidP="007343E2">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‘Central’ psyllids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r>
        <w:rPr>
          <w:rFonts w:cs="Arial"/>
        </w:rPr>
        <w:t xml:space="preserve">in a sample of 40 psyllids collected from our </w:t>
      </w:r>
      <w:proofErr w:type="spellStart"/>
      <w:r>
        <w:rPr>
          <w:rFonts w:cs="Arial"/>
        </w:rPr>
        <w:t>Lso</w:t>
      </w:r>
      <w:proofErr w:type="spellEnd"/>
      <w:r>
        <w:rPr>
          <w:rFonts w:cs="Arial"/>
        </w:rPr>
        <w:t>-positive colony. E</w:t>
      </w:r>
      <w:r w:rsidRPr="00E574CD">
        <w:t xml:space="preserve">ach psyllid tested positive for </w:t>
      </w:r>
      <w:proofErr w:type="spellStart"/>
      <w:r w:rsidRPr="00E574CD">
        <w:t>Lso</w:t>
      </w:r>
      <w:proofErr w:type="spellEnd"/>
      <w:r w:rsidRPr="00E574CD">
        <w:t xml:space="preserve">, suggesting a 100% rate of infection for the colony. </w:t>
      </w:r>
    </w:p>
    <w:p w14:paraId="278471AB" w14:textId="10EBD943" w:rsidR="00D70FC3" w:rsidRPr="007B4F5B" w:rsidRDefault="00D70FC3" w:rsidP="007343E2">
      <w:pPr>
        <w:pStyle w:val="BodyText"/>
        <w:spacing w:line="480" w:lineRule="auto"/>
      </w:pPr>
      <w:proofErr w:type="spellStart"/>
      <w:r w:rsidRPr="00A3526B">
        <w:t>Lso</w:t>
      </w:r>
      <w:proofErr w:type="spellEnd"/>
      <w:r w:rsidRPr="00A3526B">
        <w:t xml:space="preserve"> incidence </w:t>
      </w:r>
      <w:r>
        <w:t xml:space="preserve">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adults’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containing</w:t>
      </w:r>
      <w:r w:rsidRPr="00A3526B">
        <w:t xml:space="preserve"> 70% ethanol.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 </w:t>
      </w:r>
      <w:r>
        <w:t>Tissue</w:t>
      </w:r>
      <w:r w:rsidRPr="00A3526B">
        <w:t xml:space="preserve"> w</w:t>
      </w:r>
      <w:r>
        <w:t>as</w:t>
      </w:r>
      <w:r w:rsidRPr="00A3526B">
        <w:t xml:space="preserve"> ground</w:t>
      </w:r>
      <w:r>
        <w:t xml:space="preserve"> in 500 </w:t>
      </w:r>
      <w:proofErr w:type="spellStart"/>
      <w:r w:rsidRPr="003D299E">
        <w:t>μl</w:t>
      </w:r>
      <w:proofErr w:type="spellEnd"/>
      <w:r w:rsidRPr="00A3526B">
        <w:t xml:space="preserve"> </w:t>
      </w:r>
      <w:r w:rsidRPr="003D6540">
        <w:t xml:space="preserve">of </w:t>
      </w:r>
      <w:proofErr w:type="spellStart"/>
      <w:r w:rsidRPr="003D6540">
        <w:t>Cetyl</w:t>
      </w:r>
      <w:proofErr w:type="spellEnd"/>
      <w:r w:rsidRPr="003D6540">
        <w:t xml:space="preserve"> Trimethylammonium Bromide 2% </w:t>
      </w:r>
      <w:r w:rsidRPr="008F130D">
        <w:t>solution</w:t>
      </w:r>
      <w:r>
        <w:t xml:space="preserve"> </w:t>
      </w:r>
      <w:r w:rsidRPr="003D6540">
        <w:t xml:space="preserve">(Alpha </w:t>
      </w:r>
      <w:proofErr w:type="spellStart"/>
      <w:r w:rsidRPr="003D6540">
        <w:t>Teknova</w:t>
      </w:r>
      <w:proofErr w:type="spellEnd"/>
      <w:r w:rsidRPr="003D6540">
        <w:t>, Inc., Hollister, CA, Cat. No. C2190) (Composition: 2% CTAB, 100</w:t>
      </w:r>
      <w:r>
        <w:t xml:space="preserve"> </w:t>
      </w:r>
      <w:r w:rsidRPr="003D6540">
        <w:t>mM Tris-HCl, pH 8.0, 20</w:t>
      </w:r>
      <w:r>
        <w:t xml:space="preserve"> </w:t>
      </w:r>
      <w:r w:rsidRPr="003D6540">
        <w:t>mM EDTA, pH 8</w:t>
      </w:r>
      <w:r>
        <w:t xml:space="preserve">.0, 1.4M Sodium Chloride (NaCl) </w:t>
      </w:r>
      <w:r w:rsidRPr="00A3526B">
        <w:t>by a homogenizer (Omni International I</w:t>
      </w:r>
      <w:r w:rsidRPr="003D6540">
        <w:t>nc., Kennesaw, GA)</w:t>
      </w:r>
      <w:r>
        <w:t>. Samples</w:t>
      </w:r>
      <w:r w:rsidRPr="003D6540">
        <w:t xml:space="preserve"> were then incubated at 60</w:t>
      </w:r>
      <w:r>
        <w:t>°C</w:t>
      </w:r>
      <w:r w:rsidRPr="003D6540">
        <w:t xml:space="preserve"> for 30 minutes and gently mixed by inversion every 10 minutes while incubating. </w:t>
      </w:r>
      <w:r>
        <w:lastRenderedPageBreak/>
        <w:t>Tubes were c</w:t>
      </w:r>
      <w:r w:rsidRPr="00144C37">
        <w:t>entrifuge</w:t>
      </w:r>
      <w:r>
        <w:t>d</w:t>
      </w:r>
      <w:r w:rsidRPr="00144C37">
        <w:t xml:space="preserve"> at 14</w:t>
      </w:r>
      <w:r>
        <w:t xml:space="preserve">000 rpm for 5min, then the </w:t>
      </w:r>
      <w:r w:rsidRPr="00144C37">
        <w:t xml:space="preserve">supernatant </w:t>
      </w:r>
      <w:r>
        <w:t xml:space="preserve">was transferred </w:t>
      </w:r>
      <w:r w:rsidRPr="00144C37">
        <w:t>to new tube</w:t>
      </w:r>
      <w:r>
        <w:t xml:space="preserve"> of 2ml. One volume of </w:t>
      </w:r>
      <w:proofErr w:type="spellStart"/>
      <w:r w:rsidRPr="003D6540">
        <w:t>chloroform:isoamyl</w:t>
      </w:r>
      <w:proofErr w:type="spellEnd"/>
      <w:r w:rsidRPr="003D6540">
        <w:t xml:space="preserve"> alcohol (24:1 v:v) (Sigma-Aldrich, Inc., Atlanta, GA: Catalog number C0549)</w:t>
      </w:r>
      <w:r>
        <w:t xml:space="preserve"> was added and then tubes mixed by </w:t>
      </w:r>
      <w:r w:rsidRPr="003D6540">
        <w:t>vortex for 20 seconds</w:t>
      </w:r>
      <w:r>
        <w:t xml:space="preserve"> and </w:t>
      </w:r>
      <w:r w:rsidRPr="003D6540">
        <w:t>centrifuged at 14,000 rpm for 10 minutes at 4</w:t>
      </w:r>
      <w:r>
        <w:t xml:space="preserve"> </w:t>
      </w:r>
      <w:r>
        <w:rPr>
          <w:rFonts w:ascii="Times New Roman" w:hAnsi="Times New Roman" w:cs="Times New Roman"/>
        </w:rPr>
        <w:t>℃</w:t>
      </w:r>
      <w:r w:rsidRPr="003D6540">
        <w:t xml:space="preserve">. The supernatant was </w:t>
      </w:r>
      <w:r>
        <w:t>collected into</w:t>
      </w:r>
      <w:r w:rsidRPr="003D6540">
        <w:t xml:space="preserve"> a new </w:t>
      </w:r>
      <w:r>
        <w:t xml:space="preserve">2 ml </w:t>
      </w:r>
      <w:r w:rsidRPr="003D6540">
        <w:t xml:space="preserve">tube, then </w:t>
      </w:r>
      <w:r>
        <w:t>cold</w:t>
      </w:r>
      <w:r w:rsidRPr="003D6540">
        <w:t xml:space="preserve"> isopropanol (Sigma-Aldrich, Inc., Atlanta, GA: Catalog number I9516) was added at a rate of 2/3 of the volume of the supernatant. The mixture was then </w:t>
      </w:r>
      <w:r>
        <w:t>stored</w:t>
      </w:r>
      <w:r w:rsidRPr="003D6540">
        <w:t xml:space="preserve"> at -20</w:t>
      </w:r>
      <w:r>
        <w:t>°C</w:t>
      </w:r>
      <w:r w:rsidRPr="003D6540">
        <w:t xml:space="preserve"> for 30 minutes. DNA was precipitated by centrifuging the mixture for 20 </w:t>
      </w:r>
      <w:r w:rsidRPr="007B4F5B">
        <w:t xml:space="preserve">minutes at 14,000 rpm at 4°C, then isopropanol was gently removed.  Finally, 300 </w:t>
      </w:r>
      <w:proofErr w:type="spellStart"/>
      <w:r w:rsidRPr="007B4F5B">
        <w:t>μL</w:t>
      </w:r>
      <w:proofErr w:type="spellEnd"/>
      <w:r w:rsidRPr="007B4F5B">
        <w:t xml:space="preserve"> of 70% ethanol was added to the pellet and centrifuged for 5 minutes at 10,000 rpm. After ethanol was completely removed, the pellet was resuspended in 30 </w:t>
      </w:r>
      <w:proofErr w:type="spellStart"/>
      <w:r w:rsidRPr="007B4F5B">
        <w:t>μL</w:t>
      </w:r>
      <w:proofErr w:type="spellEnd"/>
      <w:r w:rsidRPr="007B4F5B">
        <w:t xml:space="preserve"> of nuclease-free </w:t>
      </w:r>
      <w:r w:rsidR="00D052CB">
        <w:t>water</w:t>
      </w:r>
      <w:r w:rsidRPr="007B4F5B">
        <w:t xml:space="preserve"> (</w:t>
      </w:r>
      <w:r w:rsidR="00DB68A5" w:rsidRPr="003D6540">
        <w:t xml:space="preserve">Sigma-Aldrich, Inc., Atlanta, GA: Catalog number </w:t>
      </w:r>
      <w:r w:rsidR="00316308" w:rsidRPr="00316308">
        <w:t>W4502</w:t>
      </w:r>
      <w:r w:rsidRPr="007B4F5B">
        <w:t xml:space="preserve">) and stored at -20°C. DNA was used to detect the presence of </w:t>
      </w:r>
      <w:proofErr w:type="spellStart"/>
      <w:r w:rsidRPr="007B4F5B">
        <w:t>Lso</w:t>
      </w:r>
      <w:proofErr w:type="spellEnd"/>
      <w:r w:rsidRPr="007B4F5B">
        <w:t xml:space="preserve"> in psyllid tissue using qPCR SYBR Green analysis using a </w:t>
      </w:r>
      <w:r w:rsidRPr="00CB7B63">
        <w:rPr>
          <w:rFonts w:cs="Arial"/>
        </w:rPr>
        <w:t xml:space="preserve">CFX Real-Time PCR System </w:t>
      </w:r>
      <w:r w:rsidRPr="007B4F5B">
        <w:t>(</w:t>
      </w:r>
      <w:proofErr w:type="spellStart"/>
      <w:r w:rsidRPr="007B4F5B">
        <w:t>Biorad</w:t>
      </w:r>
      <w:proofErr w:type="spellEnd"/>
      <w:r w:rsidRPr="007B4F5B">
        <w:t xml:space="preserve">, Hercules, CA). </w:t>
      </w:r>
      <w:r w:rsidRPr="00CB7B63">
        <w:rPr>
          <w:rFonts w:cs="Arial"/>
        </w:rPr>
        <w:t xml:space="preserve">The qPCR reaction contained primers 150 </w:t>
      </w:r>
      <w:proofErr w:type="spellStart"/>
      <w:r w:rsidRPr="00CB7B63">
        <w:rPr>
          <w:rFonts w:cs="Arial"/>
        </w:rPr>
        <w:t>nM</w:t>
      </w:r>
      <w:proofErr w:type="spellEnd"/>
      <w:r w:rsidRPr="00CB7B63">
        <w:rPr>
          <w:rFonts w:cs="Arial"/>
        </w:rPr>
        <w:t xml:space="preserve"> of </w:t>
      </w:r>
      <w:proofErr w:type="spellStart"/>
      <w:r w:rsidRPr="007B4F5B">
        <w:t>HLBr</w:t>
      </w:r>
      <w:proofErr w:type="spellEnd"/>
      <w:r w:rsidRPr="007B4F5B">
        <w:t xml:space="preserve"> (5’-GCG TTA TCC CGT AGA AAA AGG TAG-3’) and </w:t>
      </w:r>
      <w:proofErr w:type="spellStart"/>
      <w:r w:rsidRPr="007B4F5B">
        <w:t>LsoF</w:t>
      </w:r>
      <w:proofErr w:type="spellEnd"/>
      <w:r w:rsidRPr="007B4F5B">
        <w:t xml:space="preserve"> (5’-GTC GAG CGC TTA TTT TTA ATA GGA-3’) primers (Li et al. 2006, 2009)</w:t>
      </w:r>
      <w:r w:rsidRPr="00CB7B63">
        <w:rPr>
          <w:rFonts w:cs="Arial"/>
        </w:rPr>
        <w:t xml:space="preserve">; 1X </w:t>
      </w:r>
      <w:proofErr w:type="spellStart"/>
      <w:r w:rsidRPr="00CB7B63">
        <w:rPr>
          <w:rFonts w:cs="Arial"/>
        </w:rPr>
        <w:t>SsoAdvanced</w:t>
      </w:r>
      <w:proofErr w:type="spellEnd"/>
      <w:r w:rsidRPr="00CB7B63">
        <w:rPr>
          <w:rFonts w:cs="Arial"/>
        </w:rPr>
        <w:t xml:space="preserve"> Universal SYBR Green </w:t>
      </w:r>
      <w:proofErr w:type="spellStart"/>
      <w:r w:rsidRPr="00CB7B63">
        <w:rPr>
          <w:rFonts w:cs="Arial"/>
        </w:rPr>
        <w:t>Supermix</w:t>
      </w:r>
      <w:proofErr w:type="spellEnd"/>
      <w:r w:rsidRPr="00CB7B63">
        <w:rPr>
          <w:rFonts w:cs="Arial"/>
        </w:rPr>
        <w:t xml:space="preserve"> (</w:t>
      </w:r>
      <w:proofErr w:type="spellStart"/>
      <w:r w:rsidRPr="007B4F5B">
        <w:t>Biorad</w:t>
      </w:r>
      <w:proofErr w:type="spellEnd"/>
      <w:r w:rsidRPr="007B4F5B">
        <w:t>, Hercules, CA</w:t>
      </w:r>
      <w:r w:rsidRPr="00CB7B63">
        <w:rPr>
          <w:rFonts w:cs="Arial"/>
        </w:rPr>
        <w:t xml:space="preserve">), and 1 ul of DNA template. </w:t>
      </w:r>
      <w:r w:rsidRPr="007B4F5B">
        <w:t>The program cycle was as follows: one cycle at 98°C for 2 minutes followed by 40 cycles of 95°C for 10 sec and 62°C for 20 sec. The melt curve was 65 to 95 °C, with increments of 0.5 sec</w:t>
      </w:r>
      <w:r w:rsidRPr="007B4F5B">
        <w:rPr>
          <w:vertAlign w:val="superscript"/>
        </w:rPr>
        <w:t>-1</w:t>
      </w:r>
      <w:r w:rsidRPr="007B4F5B">
        <w:t>. DNA of a healthy tuber was used as a negative control. DNA of a healthy psyllids was used as a negative control and water was used as a no-template control in all tests.</w:t>
      </w:r>
    </w:p>
    <w:p w14:paraId="11F8AC9D" w14:textId="482C4BB2" w:rsidR="003B6626" w:rsidRPr="00706EB7" w:rsidRDefault="009D15EB" w:rsidP="00273667">
      <w:pPr>
        <w:pStyle w:val="Heading2"/>
        <w:spacing w:line="480" w:lineRule="auto"/>
        <w:rPr>
          <w:color w:val="auto"/>
          <w:sz w:val="24"/>
          <w:szCs w:val="24"/>
        </w:rPr>
      </w:pPr>
      <w:bookmarkStart w:id="5" w:name="sec:no-choice"/>
      <w:r w:rsidRPr="00706EB7">
        <w:rPr>
          <w:color w:val="auto"/>
          <w:sz w:val="24"/>
          <w:szCs w:val="24"/>
        </w:rPr>
        <w:lastRenderedPageBreak/>
        <w:t xml:space="preserve">No-Choice </w:t>
      </w:r>
      <w:bookmarkEnd w:id="5"/>
      <w:r w:rsidR="009971DF">
        <w:rPr>
          <w:color w:val="auto"/>
          <w:sz w:val="24"/>
          <w:szCs w:val="24"/>
        </w:rPr>
        <w:t>Arena Design</w:t>
      </w:r>
    </w:p>
    <w:p w14:paraId="11F8AC9E" w14:textId="7833FB83"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xml:space="preserve">. The glass pane and foam </w:t>
      </w:r>
      <w:r w:rsidRPr="003D6540">
        <w:lastRenderedPageBreak/>
        <w:t>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0332CD0E"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recorded for five minutes. Psyllid sex was identified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similar to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have putative significance with disease transmission and host selection</w:t>
      </w:r>
      <w:r w:rsidR="00D76642">
        <w:t xml:space="preserve"> (</w:t>
      </w:r>
      <w:r w:rsidR="00D76642" w:rsidRPr="00D677A8">
        <w:t>Prager et al. 2014</w:t>
      </w:r>
      <w:proofErr w:type="gramStart"/>
      <w:r w:rsidR="00D76642" w:rsidRPr="00D677A8">
        <w:t>a,b</w:t>
      </w:r>
      <w:proofErr w:type="gramEnd"/>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6" w:name="sec:fecundity"/>
      <w:r w:rsidRPr="0081060E">
        <w:rPr>
          <w:color w:val="auto"/>
          <w:sz w:val="24"/>
          <w:szCs w:val="24"/>
        </w:rPr>
        <w:t>Oviposition Assays</w:t>
      </w:r>
      <w:bookmarkEnd w:id="6"/>
    </w:p>
    <w:p w14:paraId="555CE6F9" w14:textId="16D8D21C"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recently emerged (</w:t>
      </w:r>
      <w:proofErr w:type="spellStart"/>
      <w:r w:rsidRPr="00A3526B">
        <w:t>teneral</w:t>
      </w:r>
      <w:proofErr w:type="spellEnd"/>
      <w:r w:rsidR="00643A47">
        <w:t>)</w:t>
      </w:r>
      <w:r w:rsidR="007202FE">
        <w:t xml:space="preserve"> 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 xml:space="preserve">earing sleeves were supported over the plant using two lengths of galvanized steel wire with a diameter of 1.63 mm. Each wire was curved into a parabolic shape and each end of the wire was inserted into the soil </w:t>
      </w:r>
      <w:r w:rsidRPr="00A3526B">
        <w:lastRenderedPageBreak/>
        <w:t>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170131D3" w:rsidR="006E521E" w:rsidRDefault="005A000B" w:rsidP="007343E2">
      <w:pPr>
        <w:pStyle w:val="Bibliography"/>
        <w:spacing w:line="480" w:lineRule="auto"/>
      </w:pPr>
      <w:r>
        <w:t>The oviposition experiment used two different mating access periods</w:t>
      </w:r>
      <w:r w:rsidR="00904B06">
        <w:t xml:space="preserve"> (Period 1)</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mating access period, the females </w:t>
      </w:r>
      <w:r w:rsidR="00643A47">
        <w:t>were</w:t>
      </w:r>
      <w:r>
        <w:t xml:space="preserve"> transferred to a new plant of the same genotype </w:t>
      </w:r>
      <w:r w:rsidR="00904B06">
        <w:t>every four days (Periods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7" w:name="sec:stats"/>
      <w:r w:rsidRPr="0001050B">
        <w:rPr>
          <w:color w:val="auto"/>
          <w:sz w:val="24"/>
          <w:szCs w:val="24"/>
        </w:rPr>
        <w:t>Statistical Analysis</w:t>
      </w:r>
      <w:bookmarkEnd w:id="7"/>
    </w:p>
    <w:p w14:paraId="11F8ACA4" w14:textId="42C96113"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w:t>
      </w:r>
      <w:r w:rsidRPr="00A3526B">
        <w:lastRenderedPageBreak/>
        <w:t xml:space="preserve">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the 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p>
    <w:p w14:paraId="11F8ACA9" w14:textId="77777777" w:rsidR="003B6626" w:rsidRPr="0001050B" w:rsidRDefault="009D15EB" w:rsidP="007343E2">
      <w:pPr>
        <w:pStyle w:val="BodyText"/>
        <w:rPr>
          <w:b/>
        </w:rPr>
      </w:pPr>
      <w:bookmarkStart w:id="8" w:name="ch:results"/>
      <w:r w:rsidRPr="0001050B">
        <w:rPr>
          <w:b/>
        </w:rPr>
        <w:t>Results</w:t>
      </w:r>
      <w:bookmarkEnd w:id="8"/>
    </w:p>
    <w:p w14:paraId="11F8ACAA" w14:textId="77777777" w:rsidR="003B6626" w:rsidRPr="0001050B" w:rsidRDefault="009D15EB" w:rsidP="007343E2">
      <w:pPr>
        <w:pStyle w:val="Heading2"/>
        <w:spacing w:line="480" w:lineRule="auto"/>
        <w:rPr>
          <w:color w:val="auto"/>
          <w:sz w:val="24"/>
          <w:szCs w:val="24"/>
        </w:rPr>
      </w:pPr>
      <w:bookmarkStart w:id="9" w:name="sec:results_no-choice"/>
      <w:r w:rsidRPr="0001050B">
        <w:rPr>
          <w:color w:val="auto"/>
          <w:sz w:val="24"/>
          <w:szCs w:val="24"/>
        </w:rPr>
        <w:t>No-Choice Assays</w:t>
      </w:r>
      <w:bookmarkEnd w:id="9"/>
    </w:p>
    <w:p w14:paraId="11F8ACAB" w14:textId="12C33B7E" w:rsidR="003B6626" w:rsidRPr="00DB2FDD" w:rsidRDefault="00803A00" w:rsidP="007343E2">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xml:space="preserve">). Probing frequency was not </w:t>
      </w:r>
      <w:r w:rsidR="009D15EB" w:rsidRPr="00DB2FDD">
        <w:lastRenderedPageBreak/>
        <w:t>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6FD1A2B8"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7343E2">
      <w:pPr>
        <w:pStyle w:val="Heading2"/>
        <w:spacing w:line="480" w:lineRule="auto"/>
        <w:rPr>
          <w:color w:val="auto"/>
          <w:sz w:val="24"/>
          <w:szCs w:val="24"/>
        </w:rPr>
      </w:pPr>
      <w:bookmarkStart w:id="10" w:name="sec:results_fecund"/>
      <w:r w:rsidRPr="00DB2FDD">
        <w:rPr>
          <w:color w:val="auto"/>
          <w:sz w:val="24"/>
          <w:szCs w:val="24"/>
        </w:rPr>
        <w:lastRenderedPageBreak/>
        <w:t>Oviposition Assays</w:t>
      </w:r>
      <w:bookmarkEnd w:id="10"/>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11" w:name="ch:discuss"/>
      <w:r w:rsidRPr="00DB2FDD">
        <w:rPr>
          <w:color w:val="auto"/>
          <w:sz w:val="24"/>
          <w:szCs w:val="24"/>
        </w:rPr>
        <w:t>Discussion</w:t>
      </w:r>
      <w:bookmarkEnd w:id="11"/>
    </w:p>
    <w:p w14:paraId="11F8ACB2" w14:textId="6A906437" w:rsidR="003B6626" w:rsidRPr="003D6540" w:rsidRDefault="009D15EB" w:rsidP="007343E2">
      <w:pPr>
        <w:pStyle w:val="FirstParagraph"/>
        <w:spacing w:line="480" w:lineRule="auto"/>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w:t>
      </w:r>
      <w:proofErr w:type="spellStart"/>
      <w:r w:rsidRPr="00A3526B">
        <w:t>Sandanayaka</w:t>
      </w:r>
      <w:proofErr w:type="spellEnd"/>
      <w:r w:rsidRPr="00A3526B">
        <w:t xml:space="preserve"> et al. 2014, Mustafa et al. 2015), but require less expensive equipment. Our results are </w:t>
      </w:r>
      <w:r w:rsidR="00803A00">
        <w:t>similar to those of</w:t>
      </w:r>
      <w:r w:rsidRPr="00A3526B">
        <w:t xml:space="preserve"> other investigations of putatively resistant potato genotypes. Our </w:t>
      </w:r>
      <w:r w:rsidR="00010D0E">
        <w:t xml:space="preserve">analysis of </w:t>
      </w:r>
      <w:r w:rsidR="002B5FE0">
        <w:t>the video recordings</w:t>
      </w:r>
      <w:r w:rsidR="00010D0E" w:rsidRPr="00A3526B">
        <w:t xml:space="preserve"> </w:t>
      </w:r>
      <w:r w:rsidR="008F425E">
        <w:t xml:space="preserve">showed </w:t>
      </w:r>
      <w:r w:rsidRPr="00A3526B">
        <w:t xml:space="preserve">more probing and walking on Russet Burbank </w:t>
      </w:r>
      <w:r w:rsidRPr="003D6540">
        <w:t xml:space="preserve">than on the putatively resistant </w:t>
      </w:r>
      <w:r w:rsidRPr="003D6540">
        <w:lastRenderedPageBreak/>
        <w:t>genotypes, which is consistent with results reported by Butler et al. (2011) and Prager et al. (2014b</w:t>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w:t>
      </w:r>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w:t>
      </w:r>
      <w:proofErr w:type="spellStart"/>
      <w:r w:rsidRPr="003D6540">
        <w:t>Lso</w:t>
      </w:r>
      <w:proofErr w:type="spellEnd"/>
      <w:r w:rsidRPr="003D6540">
        <w:t xml:space="preserve"> </w:t>
      </w:r>
      <w:r w:rsidR="00FD39AD">
        <w:t>(</w:t>
      </w:r>
      <w:r w:rsidR="00FD39AD" w:rsidRPr="003D6540">
        <w:t xml:space="preserve">Buchman et al. 2011; </w:t>
      </w:r>
      <w:proofErr w:type="spellStart"/>
      <w:r w:rsidR="00FD39AD" w:rsidRPr="003D6540">
        <w:t>Rashed</w:t>
      </w:r>
      <w:proofErr w:type="spellEnd"/>
      <w:r w:rsidR="00FD39AD" w:rsidRPr="003D6540">
        <w:t xml:space="preserve"> et al. 2012</w:t>
      </w:r>
      <w:r w:rsidR="00FD39AD">
        <w:t xml:space="preserve">) </w:t>
      </w:r>
      <w:r w:rsidRPr="003D6540">
        <w:t>and the disease progresses independently of bacterial titer (</w:t>
      </w:r>
      <w:proofErr w:type="spellStart"/>
      <w:r w:rsidRPr="003D6540">
        <w:t>Rashed</w:t>
      </w:r>
      <w:proofErr w:type="spellEnd"/>
      <w:r w:rsidRPr="003D6540">
        <w:t xml:space="preserve"> et al. 2012).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 xml:space="preserve">behavior 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78D66E13"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w:t>
      </w:r>
      <w:r w:rsidRPr="00D677A8">
        <w:lastRenderedPageBreak/>
        <w:t xml:space="preserve">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7343E2">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7343E2">
      <w:pPr>
        <w:pStyle w:val="BodyText"/>
        <w:spacing w:line="480" w:lineRule="auto"/>
      </w:pPr>
      <w:r w:rsidRPr="00D677A8">
        <w:lastRenderedPageBreak/>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327F7EAA" w:rsidR="003B6626" w:rsidRPr="00D677A8" w:rsidRDefault="009D15EB" w:rsidP="007343E2">
      <w:pPr>
        <w:pStyle w:val="BodyText"/>
        <w:spacing w:line="480" w:lineRule="auto"/>
      </w:pPr>
      <w:r w:rsidRPr="00D677A8">
        <w:t xml:space="preserve">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51B762F4"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1C23F1CB" w:rsidR="003B6626" w:rsidRPr="00D677A8" w:rsidRDefault="009D15EB" w:rsidP="007343E2">
      <w:pPr>
        <w:pStyle w:val="BodyText"/>
        <w:spacing w:line="480" w:lineRule="auto"/>
      </w:pPr>
      <w:r w:rsidRPr="00D677A8">
        <w:lastRenderedPageBreak/>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 over time to maintain egg fertility (Wenninger and Hall 2008, </w:t>
      </w:r>
      <w:proofErr w:type="spellStart"/>
      <w:r w:rsidRPr="00D677A8">
        <w:t>Arnqvist</w:t>
      </w:r>
      <w:proofErr w:type="spellEnd"/>
      <w:r w:rsidRPr="00D677A8">
        <w:t xml:space="preserve"> </w:t>
      </w:r>
      <w:r w:rsidR="00F26C87">
        <w:t xml:space="preserve">and Rowe </w:t>
      </w:r>
      <w:r w:rsidRPr="00D677A8">
        <w:t xml:space="preserve">2013).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11F8ACBB" w14:textId="0FD89D41" w:rsidR="003B6626" w:rsidRPr="00D677A8" w:rsidRDefault="009D15EB" w:rsidP="007343E2">
      <w:pPr>
        <w:pStyle w:val="BodyText"/>
        <w:spacing w:line="480" w:lineRule="auto"/>
      </w:pPr>
      <w:r w:rsidRPr="00D677A8">
        <w:t xml:space="preserve">In conclusion, we found little evidence of </w:t>
      </w:r>
      <w:proofErr w:type="spellStart"/>
      <w:r w:rsidRPr="00D677A8">
        <w:t>antixenosis</w:t>
      </w:r>
      <w:proofErr w:type="spellEnd"/>
      <w:r w:rsidRPr="00D677A8">
        <w:t xml:space="preserve">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w:t>
      </w:r>
      <w:proofErr w:type="spellStart"/>
      <w:r w:rsidRPr="00D677A8">
        <w:t>Lso</w:t>
      </w:r>
      <w:proofErr w:type="spellEnd"/>
      <w:r w:rsidRPr="00D677A8">
        <w:t xml:space="preserve"> for the A07781 genotypes (Rashidi et al. 2017) is not likely related to psyllid settling behaviors, but </w:t>
      </w:r>
      <w:r w:rsidR="00EB7581">
        <w:t xml:space="preserve">rather </w:t>
      </w:r>
      <w:r w:rsidRPr="00D677A8">
        <w:t xml:space="preserve">that reduced </w:t>
      </w:r>
      <w:r w:rsidR="00F133BD">
        <w:t>ZC</w:t>
      </w:r>
      <w:r w:rsidR="00F133BD" w:rsidRPr="00D677A8">
        <w:t xml:space="preserve"> </w:t>
      </w:r>
      <w:r w:rsidRPr="00D677A8">
        <w:t xml:space="preserve">symptoms may be due to resistance to </w:t>
      </w:r>
      <w:proofErr w:type="spellStart"/>
      <w:r w:rsidR="00F133BD">
        <w:t>Lso</w:t>
      </w:r>
      <w:proofErr w:type="spellEnd"/>
      <w:r w:rsidR="00F133BD">
        <w:t xml:space="preserve"> development</w:t>
      </w:r>
      <w:r w:rsidRPr="00D677A8">
        <w:t xml:space="preserve"> itself</w:t>
      </w:r>
      <w:r w:rsidR="00F133BD">
        <w:t xml:space="preserve"> or presence of mechanisms that limit symptom expression</w:t>
      </w:r>
      <w:r w:rsidRPr="00D677A8">
        <w:t xml:space="preserve">. Further work will be required to clarify the modality of resistance to </w:t>
      </w:r>
      <w:proofErr w:type="spellStart"/>
      <w:r w:rsidRPr="00D677A8">
        <w:t>Lso</w:t>
      </w:r>
      <w:proofErr w:type="spellEnd"/>
      <w:r w:rsidRPr="00D677A8">
        <w:t xml:space="preserve"> in the A07781 genotypes.</w:t>
      </w:r>
    </w:p>
    <w:p w14:paraId="10D7A155" w14:textId="77777777" w:rsidR="00F133BD" w:rsidRDefault="00F133BD" w:rsidP="007343E2">
      <w:pPr>
        <w:pStyle w:val="Bibliography"/>
        <w:spacing w:line="480" w:lineRule="auto"/>
        <w:rPr>
          <w:b/>
        </w:rPr>
      </w:pPr>
      <w:bookmarkStart w:id="12" w:name="ref-Abdullah2008"/>
      <w:bookmarkStart w:id="13" w:name="refs"/>
    </w:p>
    <w:p w14:paraId="1968CCBC" w14:textId="6DFFFE9C" w:rsidR="005E7C55" w:rsidRDefault="005E7C55" w:rsidP="007343E2">
      <w:pPr>
        <w:pStyle w:val="Bibliography"/>
        <w:spacing w:line="480" w:lineRule="auto"/>
        <w:rPr>
          <w:b/>
        </w:rPr>
      </w:pPr>
      <w:r>
        <w:rPr>
          <w:b/>
        </w:rPr>
        <w:lastRenderedPageBreak/>
        <w:t>Acknowledgments</w:t>
      </w:r>
    </w:p>
    <w:p w14:paraId="7FBCE757" w14:textId="67C2F76B"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xml:space="preserve"> and K.</w:t>
      </w:r>
      <w:r w:rsidR="00CA2174">
        <w:t xml:space="preserve"> Cruzado for her help with </w:t>
      </w:r>
      <w:proofErr w:type="spellStart"/>
      <w:r w:rsidR="00CA2174">
        <w:t>Lso</w:t>
      </w:r>
      <w:proofErr w:type="spellEnd"/>
      <w:r w:rsidR="00CA2174">
        <w:t xml:space="preserve">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1B3C41E5"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r w:rsidR="00402965">
        <w:rPr>
          <w:bCs/>
        </w:rPr>
        <w:t>helped write the manuscript</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14" w:name="ref-Abe2015"/>
      <w:bookmarkEnd w:id="12"/>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15" w:name="ref-Aguilar2013"/>
      <w:bookmarkEnd w:id="14"/>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16" w:name="ref-Alvarado2012"/>
      <w:bookmarkEnd w:id="15"/>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777777" w:rsidR="003B6626" w:rsidRPr="00D677A8" w:rsidRDefault="009D15EB" w:rsidP="007343E2">
      <w:pPr>
        <w:pStyle w:val="Bibliography"/>
        <w:spacing w:line="480" w:lineRule="auto"/>
        <w:ind w:left="720" w:hanging="720"/>
      </w:pPr>
      <w:bookmarkStart w:id="17" w:name="ref-Anderson2012"/>
      <w:bookmarkEnd w:id="16"/>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7AC55F61" w:rsidR="003B6626" w:rsidRPr="00D677A8" w:rsidRDefault="009D15EB" w:rsidP="007343E2">
      <w:pPr>
        <w:pStyle w:val="Bibliography"/>
        <w:spacing w:line="480" w:lineRule="auto"/>
        <w:ind w:left="720" w:hanging="720"/>
      </w:pPr>
      <w:bookmarkStart w:id="18" w:name="ref-Arnqvist2013"/>
      <w:bookmarkEnd w:id="17"/>
      <w:proofErr w:type="spellStart"/>
      <w:r w:rsidRPr="006A52AF">
        <w:rPr>
          <w:b/>
        </w:rPr>
        <w:t>Arnqvis</w:t>
      </w:r>
      <w:r w:rsidRPr="00D677A8">
        <w:rPr>
          <w:b/>
        </w:rPr>
        <w:t>t</w:t>
      </w:r>
      <w:proofErr w:type="spellEnd"/>
      <w:r w:rsidRPr="00D677A8">
        <w:rPr>
          <w:b/>
        </w:rPr>
        <w: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7343E2">
      <w:pPr>
        <w:pStyle w:val="Bibliography"/>
        <w:spacing w:line="480" w:lineRule="auto"/>
        <w:ind w:left="720" w:hanging="720"/>
      </w:pPr>
      <w:bookmarkStart w:id="19" w:name="ref-Bates2015"/>
      <w:bookmarkEnd w:id="18"/>
      <w:r w:rsidRPr="006A52AF">
        <w:rPr>
          <w:b/>
        </w:rPr>
        <w:lastRenderedPageBreak/>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20" w:name="ref-Buchman2012"/>
      <w:bookmarkEnd w:id="19"/>
      <w:r w:rsidRPr="006A52AF">
        <w:rPr>
          <w:b/>
        </w:rPr>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21" w:name="ref-Buchman2011a"/>
      <w:bookmarkEnd w:id="20"/>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22" w:name="ref-Butler2011"/>
      <w:bookmarkEnd w:id="21"/>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23" w:name="ref-Butler2012a"/>
      <w:bookmarkEnd w:id="22"/>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24" w:name="ref-Butler2012b"/>
      <w:bookmarkEnd w:id="23"/>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25" w:name="ref-Cao2016"/>
      <w:bookmarkEnd w:id="24"/>
      <w:r w:rsidRPr="006A52AF">
        <w:rPr>
          <w:b/>
        </w:rPr>
        <w:lastRenderedPageBreak/>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26" w:name="ref-Casteel2006"/>
      <w:bookmarkEnd w:id="25"/>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7343E2">
      <w:pPr>
        <w:pStyle w:val="Bibliography"/>
        <w:spacing w:line="480" w:lineRule="auto"/>
        <w:ind w:left="720" w:hanging="720"/>
        <w:rPr>
          <w:lang w:val="es-MX"/>
        </w:rPr>
      </w:pPr>
      <w:bookmarkStart w:id="27" w:name="ref-Casteel2007"/>
      <w:bookmarkEnd w:id="26"/>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7343E2">
      <w:pPr>
        <w:pStyle w:val="Bibliography"/>
        <w:spacing w:line="480" w:lineRule="auto"/>
        <w:ind w:left="720" w:hanging="720"/>
      </w:pPr>
      <w:bookmarkStart w:id="28" w:name="ref-Chavez2015"/>
      <w:bookmarkEnd w:id="27"/>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29" w:name="ref-Cicero2016"/>
      <w:bookmarkEnd w:id="28"/>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7343E2">
      <w:pPr>
        <w:pStyle w:val="Bibliography"/>
        <w:spacing w:line="480" w:lineRule="auto"/>
        <w:ind w:left="720" w:hanging="720"/>
      </w:pPr>
      <w:bookmarkStart w:id="30" w:name="ref-Cooper2014"/>
      <w:bookmarkEnd w:id="29"/>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31" w:name="ref-Crosslin2011"/>
      <w:bookmarkEnd w:id="30"/>
      <w:proofErr w:type="spellStart"/>
      <w:r w:rsidRPr="006A52AF">
        <w:rPr>
          <w:b/>
        </w:rPr>
        <w:lastRenderedPageBreak/>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32" w:name="ref-Crosslin2012"/>
      <w:bookmarkEnd w:id="31"/>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33" w:name="ref-Dahan2017"/>
      <w:bookmarkEnd w:id="32"/>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34" w:name="ref-Davidson2014"/>
      <w:bookmarkEnd w:id="33"/>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35" w:name="ref-Davis2012"/>
      <w:bookmarkEnd w:id="34"/>
      <w:r w:rsidRPr="006A52AF">
        <w:rPr>
          <w:b/>
        </w:rPr>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36" w:name="ref-Delignette-Muller2015"/>
      <w:bookmarkEnd w:id="35"/>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37" w:name="ref-Diaz-Montano2006"/>
      <w:bookmarkEnd w:id="36"/>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38" w:name="ref-Diaz-Montano2013"/>
      <w:bookmarkEnd w:id="37"/>
      <w:r w:rsidRPr="006A52AF">
        <w:rPr>
          <w:b/>
        </w:rPr>
        <w:lastRenderedPageBreak/>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39" w:name="ref-Dwelle2003"/>
      <w:bookmarkEnd w:id="38"/>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40" w:name="ref-Echegaray2017"/>
      <w:bookmarkEnd w:id="39"/>
      <w:r w:rsidRPr="006A52AF">
        <w:rPr>
          <w:b/>
        </w:rPr>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7343E2">
      <w:pPr>
        <w:pStyle w:val="Bibliography"/>
        <w:spacing w:line="480" w:lineRule="auto"/>
        <w:ind w:left="720" w:hanging="720"/>
      </w:pPr>
      <w:bookmarkStart w:id="41" w:name="ref-Eigenbrode2018"/>
      <w:bookmarkEnd w:id="40"/>
      <w:proofErr w:type="spellStart"/>
      <w:r w:rsidRPr="006A52AF">
        <w:rPr>
          <w:b/>
        </w:rPr>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7343E2">
      <w:pPr>
        <w:pStyle w:val="Bibliography"/>
        <w:spacing w:line="480" w:lineRule="auto"/>
        <w:ind w:left="720" w:hanging="720"/>
        <w:rPr>
          <w:lang w:val="es-MX"/>
        </w:rPr>
      </w:pPr>
      <w:bookmarkStart w:id="42" w:name="ref-Eyer1933"/>
      <w:bookmarkEnd w:id="41"/>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5A598E">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43" w:name="ref-Frias2018"/>
      <w:bookmarkEnd w:id="42"/>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44" w:name="ref-Gharalari2009"/>
      <w:bookmarkEnd w:id="43"/>
      <w:proofErr w:type="spellStart"/>
      <w:r w:rsidRPr="006A52AF">
        <w:rPr>
          <w:b/>
        </w:rPr>
        <w:lastRenderedPageBreak/>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45" w:name="ref-Goolsby2007b"/>
      <w:bookmarkEnd w:id="44"/>
      <w:r w:rsidRPr="00713B4D">
        <w:rPr>
          <w:b/>
        </w:rPr>
        <w:t>Goolsby, J. A.,</w:t>
      </w:r>
      <w:r w:rsidRPr="00D677A8">
        <w:rPr>
          <w:b/>
        </w:rPr>
        <w:t xml:space="preserve">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46" w:name="ref-Goolsby2007a"/>
      <w:bookmarkEnd w:id="45"/>
      <w:r w:rsidRPr="00D677A8">
        <w:rPr>
          <w:b/>
        </w:rPr>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47" w:name="ref-Greenway2014"/>
      <w:bookmarkEnd w:id="46"/>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48" w:name="ref-Greenway2018"/>
      <w:bookmarkEnd w:id="47"/>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49" w:name="ref-Guenthner2012"/>
      <w:bookmarkEnd w:id="48"/>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50" w:name="ref-Hansen2008"/>
      <w:bookmarkEnd w:id="49"/>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51" w:name="ref-Haenninen2009"/>
      <w:bookmarkEnd w:id="50"/>
      <w:proofErr w:type="spellStart"/>
      <w:r w:rsidRPr="006A52AF">
        <w:rPr>
          <w:b/>
        </w:rPr>
        <w:lastRenderedPageBreak/>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5A598E" w:rsidRDefault="009D15EB" w:rsidP="007343E2">
      <w:pPr>
        <w:pStyle w:val="Bibliography"/>
        <w:spacing w:line="480" w:lineRule="auto"/>
        <w:ind w:left="720" w:hanging="720"/>
        <w:rPr>
          <w:lang w:val="es-419"/>
        </w:rPr>
      </w:pPr>
      <w:bookmarkStart w:id="52" w:name="ref-Hernandez-Bautista2013"/>
      <w:bookmarkEnd w:id="51"/>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5A598E">
        <w:rPr>
          <w:lang w:val="es-419"/>
        </w:rPr>
        <w:t>Entomología mexicana.</w:t>
      </w:r>
    </w:p>
    <w:p w14:paraId="11F8B011" w14:textId="77777777" w:rsidR="003B6626" w:rsidRPr="00D677A8" w:rsidRDefault="009D15EB" w:rsidP="007343E2">
      <w:pPr>
        <w:pStyle w:val="Bibliography"/>
        <w:spacing w:line="480" w:lineRule="auto"/>
        <w:ind w:left="720" w:hanging="720"/>
      </w:pPr>
      <w:bookmarkStart w:id="53" w:name="ref-Kaloshian2004"/>
      <w:bookmarkEnd w:id="52"/>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54" w:name="ref-Kennedy1987"/>
      <w:bookmarkEnd w:id="53"/>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55" w:name="ref-Klingler2005"/>
      <w:bookmarkEnd w:id="54"/>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56" w:name="ref-Knowlton1931"/>
      <w:bookmarkEnd w:id="55"/>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57" w:name="ref-Knowlton1934"/>
      <w:bookmarkEnd w:id="56"/>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58" w:name="ref-Kogan1988"/>
      <w:bookmarkEnd w:id="57"/>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7343E2">
      <w:pPr>
        <w:pStyle w:val="Bibliography"/>
        <w:spacing w:line="480" w:lineRule="auto"/>
        <w:ind w:left="720" w:hanging="720"/>
      </w:pPr>
      <w:bookmarkStart w:id="59" w:name="ref-Levy2011"/>
      <w:bookmarkEnd w:id="58"/>
      <w:r w:rsidRPr="006A52AF">
        <w:rPr>
          <w:b/>
        </w:rPr>
        <w:lastRenderedPageBreak/>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60" w:name="ref-Li2009"/>
      <w:bookmarkEnd w:id="59"/>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61" w:name="ref-Li2006"/>
      <w:bookmarkEnd w:id="60"/>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62" w:name="ref-Liefting2009"/>
      <w:bookmarkEnd w:id="61"/>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63" w:name="ref-Lin2009"/>
      <w:bookmarkEnd w:id="62"/>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64" w:name="ref-Liu2004"/>
      <w:bookmarkEnd w:id="63"/>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65" w:name="ref-Marchini2011"/>
      <w:bookmarkEnd w:id="64"/>
      <w:proofErr w:type="spellStart"/>
      <w:r w:rsidRPr="006A52AF">
        <w:rPr>
          <w:b/>
        </w:rPr>
        <w:lastRenderedPageBreak/>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66" w:name="ref-Martin2008"/>
      <w:bookmarkEnd w:id="65"/>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67" w:name="ref-Marzachi1998"/>
      <w:bookmarkEnd w:id="66"/>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68" w:name="ref-Mas2014"/>
      <w:bookmarkEnd w:id="67"/>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69" w:name="ref-Mayer2008"/>
      <w:bookmarkEnd w:id="68"/>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70" w:name="ref-Munyaneza2012b"/>
      <w:bookmarkEnd w:id="69"/>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71" w:name="ref-Munyaneza2011"/>
      <w:bookmarkEnd w:id="70"/>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72" w:name="ref-Munyaneza2008"/>
      <w:bookmarkEnd w:id="71"/>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xml:space="preserve">. Main content area impact of different potato </w:t>
      </w:r>
      <w:r w:rsidRPr="00D677A8">
        <w:lastRenderedPageBreak/>
        <w:t>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73" w:name="ref-Munyaneza2007a"/>
      <w:bookmarkEnd w:id="72"/>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74" w:name="ref-Murphy2012"/>
      <w:bookmarkEnd w:id="73"/>
      <w:r w:rsidRPr="006A52AF">
        <w:rPr>
          <w:b/>
        </w:rPr>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75" w:name="ref-Mustafa2015b"/>
      <w:bookmarkEnd w:id="74"/>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76" w:name="ref-Nachappa2012a"/>
      <w:bookmarkEnd w:id="75"/>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77" w:name="ref-Nachappa2012"/>
      <w:bookmarkEnd w:id="76"/>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78" w:name="ref-Nachappa2014"/>
      <w:bookmarkEnd w:id="77"/>
      <w:proofErr w:type="spellStart"/>
      <w:r w:rsidRPr="006A52AF">
        <w:rPr>
          <w:b/>
        </w:rPr>
        <w:lastRenderedPageBreak/>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79" w:name="ref-NASSNorthwestRegionalFieldOffice2017"/>
      <w:bookmarkEnd w:id="78"/>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80" w:name="ref-Navarre2009"/>
      <w:bookmarkEnd w:id="79"/>
      <w:r w:rsidRPr="006A52AF">
        <w:rPr>
          <w:b/>
        </w:rPr>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81" w:name="ref-Patt2011"/>
      <w:bookmarkEnd w:id="80"/>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82" w:name="ref-Pfeiffer1983"/>
      <w:bookmarkEnd w:id="81"/>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83" w:name="ref-Pfeiffer1984"/>
      <w:bookmarkEnd w:id="82"/>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84" w:name="ref-Prager2014a"/>
      <w:bookmarkEnd w:id="83"/>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85" w:name="ref-Prager2014b"/>
      <w:bookmarkEnd w:id="84"/>
      <w:r w:rsidRPr="00D677A8">
        <w:rPr>
          <w:b/>
        </w:rPr>
        <w:lastRenderedPageBreak/>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7343E2">
      <w:pPr>
        <w:pStyle w:val="Bibliography"/>
        <w:spacing w:line="480" w:lineRule="auto"/>
        <w:ind w:left="720" w:hanging="720"/>
      </w:pPr>
      <w:bookmarkStart w:id="86" w:name="ref-Prager2013"/>
      <w:bookmarkEnd w:id="85"/>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87" w:name="ref-Prager2017"/>
      <w:bookmarkEnd w:id="86"/>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88" w:name="ref-Putten2001"/>
      <w:bookmarkEnd w:id="87"/>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89" w:name="ref-Qazi2010"/>
      <w:bookmarkEnd w:id="88"/>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90" w:name="ref-Rashed2012"/>
      <w:bookmarkEnd w:id="89"/>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91" w:name="ref-Rashidi2017"/>
      <w:bookmarkEnd w:id="90"/>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92" w:name="ref-RCT2013"/>
      <w:bookmarkEnd w:id="91"/>
      <w:r w:rsidRPr="00D677A8">
        <w:rPr>
          <w:b/>
        </w:rPr>
        <w:lastRenderedPageBreak/>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93" w:name="ref-Rehman2010"/>
      <w:bookmarkEnd w:id="92"/>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94" w:name="ref-Richards1928"/>
      <w:bookmarkEnd w:id="93"/>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95" w:name="ref-Richards1973"/>
      <w:bookmarkEnd w:id="94"/>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96" w:name="ref-Rosson2006"/>
      <w:bookmarkEnd w:id="95"/>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97" w:name="ref-Rubio-Covarrubias2017"/>
      <w:bookmarkEnd w:id="96"/>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98" w:name="ref-Sandanayaka2014"/>
      <w:bookmarkEnd w:id="97"/>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99" w:name="ref-Schnakenberg2011"/>
      <w:bookmarkEnd w:id="98"/>
      <w:r w:rsidRPr="00116522">
        <w:rPr>
          <w:b/>
        </w:rPr>
        <w:lastRenderedPageBreak/>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100" w:name="ref-Secor2004"/>
      <w:bookmarkEnd w:id="99"/>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101" w:name="ref-Stroup2015"/>
      <w:bookmarkEnd w:id="100"/>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7343E2">
      <w:pPr>
        <w:pStyle w:val="Bibliography"/>
        <w:spacing w:line="480" w:lineRule="auto"/>
        <w:ind w:left="720" w:hanging="720"/>
      </w:pPr>
      <w:bookmarkStart w:id="102" w:name="ref-Swisher2014a"/>
      <w:bookmarkEnd w:id="101"/>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103" w:name="ref-Sulc1909"/>
      <w:bookmarkEnd w:id="102"/>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104" w:name="ref-Teixeira2005"/>
      <w:bookmarkEnd w:id="103"/>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105" w:name="ref-Teulon2009"/>
      <w:bookmarkEnd w:id="104"/>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06" w:name="_Hlk17982148"/>
      <w:bookmarkStart w:id="107" w:name="ref-Thinakaran2015"/>
      <w:bookmarkEnd w:id="105"/>
      <w:r w:rsidRPr="00D677A8">
        <w:rPr>
          <w:b/>
        </w:rPr>
        <w:t>Thinakaran,</w:t>
      </w:r>
      <w:bookmarkEnd w:id="106"/>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lastRenderedPageBreak/>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5A598E">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108" w:name="ref-Vega-Gutierrez2008"/>
      <w:bookmarkEnd w:id="107"/>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7343E2">
      <w:pPr>
        <w:pStyle w:val="Bibliography"/>
        <w:spacing w:line="480" w:lineRule="auto"/>
        <w:ind w:left="720" w:hanging="720"/>
      </w:pPr>
      <w:bookmarkStart w:id="109" w:name="ref-Wallis1955"/>
      <w:bookmarkEnd w:id="108"/>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110" w:name="ref-Wenninger2017"/>
      <w:bookmarkEnd w:id="109"/>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111" w:name="ref-Wenninger2008"/>
      <w:bookmarkEnd w:id="110"/>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112" w:name="ref-Wenninger2009"/>
      <w:bookmarkEnd w:id="111"/>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113" w:name="ref-Wolfner2011"/>
      <w:bookmarkEnd w:id="112"/>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114" w:name="ref-Yang2009"/>
      <w:bookmarkEnd w:id="113"/>
      <w:r w:rsidRPr="00116522">
        <w:rPr>
          <w:b/>
        </w:rPr>
        <w:lastRenderedPageBreak/>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115" w:name="ref-Yang2013"/>
      <w:bookmarkEnd w:id="114"/>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116" w:name="ref-Yang2010"/>
      <w:bookmarkEnd w:id="115"/>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117" w:name="ref-Yao2016"/>
      <w:bookmarkEnd w:id="116"/>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13"/>
      <w:bookmarkEnd w:id="117"/>
    </w:p>
    <w:p w14:paraId="230E466C" w14:textId="77777777" w:rsidR="00074E0F" w:rsidRDefault="00074E0F" w:rsidP="007343E2">
      <w:pPr>
        <w:rPr>
          <w:b/>
        </w:rPr>
      </w:pPr>
      <w:r>
        <w:rPr>
          <w:b/>
        </w:rPr>
        <w:br w:type="page"/>
      </w:r>
    </w:p>
    <w:p w14:paraId="707BE91D" w14:textId="30310936"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22CD1E00"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7343E2">
            <w:pPr>
              <w:pStyle w:val="Compact"/>
              <w:spacing w:line="480" w:lineRule="auto"/>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140"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349" w:type="pct"/>
            <w:tcBorders>
              <w:top w:val="single" w:sz="4" w:space="0" w:color="auto"/>
            </w:tcBorders>
            <w:vAlign w:val="bottom"/>
          </w:tcPr>
          <w:p w14:paraId="3023F7F9" w14:textId="77777777" w:rsidR="00B82D9F" w:rsidRPr="00D677A8" w:rsidRDefault="00B82D9F" w:rsidP="007343E2">
            <w:pPr>
              <w:pStyle w:val="Compact"/>
              <w:spacing w:line="480" w:lineRule="auto"/>
            </w:pPr>
            <w:r w:rsidRPr="00D677A8">
              <w:t>21</w:t>
            </w:r>
          </w:p>
        </w:tc>
        <w:tc>
          <w:tcPr>
            <w:tcW w:w="935"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F3146A">
        <w:tc>
          <w:tcPr>
            <w:tcW w:w="1335" w:type="pct"/>
            <w:vAlign w:val="bottom"/>
          </w:tcPr>
          <w:p w14:paraId="69BA6703" w14:textId="77777777" w:rsidR="00B82D9F" w:rsidRPr="00D677A8" w:rsidRDefault="00B82D9F" w:rsidP="007343E2">
            <w:pPr>
              <w:spacing w:line="480" w:lineRule="auto"/>
            </w:pPr>
          </w:p>
        </w:tc>
        <w:tc>
          <w:tcPr>
            <w:tcW w:w="697" w:type="pct"/>
            <w:vAlign w:val="bottom"/>
          </w:tcPr>
          <w:p w14:paraId="2F0ED7B3" w14:textId="77777777" w:rsidR="00B82D9F" w:rsidRPr="00D677A8" w:rsidRDefault="00B82D9F" w:rsidP="007343E2">
            <w:pPr>
              <w:pStyle w:val="Compact"/>
              <w:spacing w:line="480" w:lineRule="auto"/>
            </w:pPr>
            <w:r w:rsidRPr="00D677A8">
              <w:t>Male</w:t>
            </w:r>
          </w:p>
        </w:tc>
        <w:tc>
          <w:tcPr>
            <w:tcW w:w="349" w:type="pct"/>
            <w:vAlign w:val="bottom"/>
          </w:tcPr>
          <w:p w14:paraId="6775C04C" w14:textId="77777777" w:rsidR="00B82D9F" w:rsidRPr="00D677A8" w:rsidRDefault="00B82D9F" w:rsidP="007343E2">
            <w:pPr>
              <w:pStyle w:val="Compact"/>
              <w:spacing w:line="480" w:lineRule="auto"/>
            </w:pPr>
            <w:r w:rsidRPr="00D677A8">
              <w:t>25</w:t>
            </w:r>
          </w:p>
        </w:tc>
        <w:tc>
          <w:tcPr>
            <w:tcW w:w="935"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7343E2">
            <w:pPr>
              <w:spacing w:line="480" w:lineRule="auto"/>
            </w:pPr>
          </w:p>
        </w:tc>
        <w:tc>
          <w:tcPr>
            <w:tcW w:w="1140"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7343E2">
            <w:pPr>
              <w:spacing w:line="480" w:lineRule="auto"/>
            </w:pPr>
          </w:p>
        </w:tc>
      </w:tr>
      <w:tr w:rsidR="00B82D9F" w:rsidRPr="00D677A8" w14:paraId="037AE0D4" w14:textId="77777777" w:rsidTr="00F3146A">
        <w:tc>
          <w:tcPr>
            <w:tcW w:w="1335"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697" w:type="pct"/>
            <w:vAlign w:val="bottom"/>
          </w:tcPr>
          <w:p w14:paraId="12642B97" w14:textId="77777777" w:rsidR="00B82D9F" w:rsidRPr="00D677A8" w:rsidRDefault="00B82D9F" w:rsidP="007343E2">
            <w:pPr>
              <w:pStyle w:val="Compact"/>
              <w:spacing w:line="480" w:lineRule="auto"/>
            </w:pPr>
            <w:r w:rsidRPr="00D677A8">
              <w:t>Female</w:t>
            </w:r>
          </w:p>
        </w:tc>
        <w:tc>
          <w:tcPr>
            <w:tcW w:w="349" w:type="pct"/>
            <w:vAlign w:val="bottom"/>
          </w:tcPr>
          <w:p w14:paraId="27E8F4D5" w14:textId="77777777" w:rsidR="00B82D9F" w:rsidRPr="00D677A8" w:rsidRDefault="00B82D9F" w:rsidP="007343E2">
            <w:pPr>
              <w:pStyle w:val="Compact"/>
              <w:spacing w:line="480" w:lineRule="auto"/>
            </w:pPr>
            <w:r w:rsidRPr="00D677A8">
              <w:t>27</w:t>
            </w:r>
          </w:p>
        </w:tc>
        <w:tc>
          <w:tcPr>
            <w:tcW w:w="935"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273667">
            <w:pPr>
              <w:pStyle w:val="Compact"/>
              <w:spacing w:line="480" w:lineRule="auto"/>
            </w:pPr>
            <w:r w:rsidRPr="007029E4">
              <w:t>A</w:t>
            </w:r>
          </w:p>
        </w:tc>
        <w:tc>
          <w:tcPr>
            <w:tcW w:w="1140"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7343E2">
            <w:pPr>
              <w:spacing w:line="480" w:lineRule="auto"/>
            </w:pPr>
          </w:p>
        </w:tc>
      </w:tr>
      <w:tr w:rsidR="00B82D9F" w:rsidRPr="00D677A8" w14:paraId="6917CC7D" w14:textId="77777777" w:rsidTr="00F3146A">
        <w:tc>
          <w:tcPr>
            <w:tcW w:w="1335" w:type="pct"/>
            <w:vAlign w:val="bottom"/>
          </w:tcPr>
          <w:p w14:paraId="1C0FDEA4" w14:textId="77777777" w:rsidR="00B82D9F" w:rsidRPr="00D677A8" w:rsidRDefault="00B82D9F" w:rsidP="007343E2">
            <w:pPr>
              <w:spacing w:line="480" w:lineRule="auto"/>
            </w:pPr>
          </w:p>
        </w:tc>
        <w:tc>
          <w:tcPr>
            <w:tcW w:w="697" w:type="pct"/>
            <w:vAlign w:val="bottom"/>
          </w:tcPr>
          <w:p w14:paraId="27DCEC57" w14:textId="77777777" w:rsidR="00B82D9F" w:rsidRPr="00D677A8" w:rsidRDefault="00B82D9F" w:rsidP="007343E2">
            <w:pPr>
              <w:pStyle w:val="Compact"/>
              <w:spacing w:line="480" w:lineRule="auto"/>
            </w:pPr>
            <w:r w:rsidRPr="00D677A8">
              <w:t>Male</w:t>
            </w:r>
          </w:p>
        </w:tc>
        <w:tc>
          <w:tcPr>
            <w:tcW w:w="349" w:type="pct"/>
            <w:vAlign w:val="bottom"/>
          </w:tcPr>
          <w:p w14:paraId="616386FB" w14:textId="77777777" w:rsidR="00B82D9F" w:rsidRPr="00D677A8" w:rsidRDefault="00B82D9F" w:rsidP="007343E2">
            <w:pPr>
              <w:pStyle w:val="Compact"/>
              <w:spacing w:line="480" w:lineRule="auto"/>
            </w:pPr>
            <w:r w:rsidRPr="00D677A8">
              <w:t>21</w:t>
            </w:r>
          </w:p>
        </w:tc>
        <w:tc>
          <w:tcPr>
            <w:tcW w:w="935"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7343E2">
            <w:pPr>
              <w:spacing w:line="480" w:lineRule="auto"/>
            </w:pPr>
          </w:p>
        </w:tc>
        <w:tc>
          <w:tcPr>
            <w:tcW w:w="1140"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7343E2">
            <w:pPr>
              <w:spacing w:line="480" w:lineRule="auto"/>
            </w:pPr>
          </w:p>
        </w:tc>
      </w:tr>
      <w:tr w:rsidR="00B82D9F" w:rsidRPr="00D677A8" w14:paraId="64B0A339" w14:textId="77777777" w:rsidTr="00F3146A">
        <w:tc>
          <w:tcPr>
            <w:tcW w:w="1335"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697" w:type="pct"/>
            <w:vAlign w:val="bottom"/>
          </w:tcPr>
          <w:p w14:paraId="709F42E9" w14:textId="77777777" w:rsidR="00B82D9F" w:rsidRPr="00D677A8" w:rsidRDefault="00B82D9F" w:rsidP="007343E2">
            <w:pPr>
              <w:pStyle w:val="Compact"/>
              <w:spacing w:line="480" w:lineRule="auto"/>
            </w:pPr>
            <w:r w:rsidRPr="00D677A8">
              <w:t>Female</w:t>
            </w:r>
          </w:p>
        </w:tc>
        <w:tc>
          <w:tcPr>
            <w:tcW w:w="349" w:type="pct"/>
            <w:vAlign w:val="bottom"/>
          </w:tcPr>
          <w:p w14:paraId="28D6C60E" w14:textId="77777777" w:rsidR="00B82D9F" w:rsidRPr="00D677A8" w:rsidRDefault="00B82D9F" w:rsidP="007343E2">
            <w:pPr>
              <w:pStyle w:val="Compact"/>
              <w:spacing w:line="480" w:lineRule="auto"/>
            </w:pPr>
            <w:r w:rsidRPr="00D677A8">
              <w:t>25</w:t>
            </w:r>
          </w:p>
        </w:tc>
        <w:tc>
          <w:tcPr>
            <w:tcW w:w="935"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140"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7343E2">
            <w:pPr>
              <w:spacing w:line="480" w:lineRule="auto"/>
            </w:pPr>
          </w:p>
        </w:tc>
      </w:tr>
      <w:tr w:rsidR="00B82D9F" w:rsidRPr="00D677A8" w14:paraId="1295D796" w14:textId="77777777" w:rsidTr="00F3146A">
        <w:tc>
          <w:tcPr>
            <w:tcW w:w="1335" w:type="pct"/>
            <w:vAlign w:val="bottom"/>
          </w:tcPr>
          <w:p w14:paraId="67729BD8" w14:textId="77777777" w:rsidR="00B82D9F" w:rsidRPr="00D677A8" w:rsidRDefault="00B82D9F" w:rsidP="007343E2">
            <w:pPr>
              <w:spacing w:line="480" w:lineRule="auto"/>
            </w:pPr>
          </w:p>
        </w:tc>
        <w:tc>
          <w:tcPr>
            <w:tcW w:w="697" w:type="pct"/>
            <w:vAlign w:val="bottom"/>
          </w:tcPr>
          <w:p w14:paraId="32D19B04" w14:textId="77777777" w:rsidR="00B82D9F" w:rsidRPr="00D677A8" w:rsidRDefault="00B82D9F" w:rsidP="007343E2">
            <w:pPr>
              <w:pStyle w:val="Compact"/>
              <w:spacing w:line="480" w:lineRule="auto"/>
            </w:pPr>
            <w:r w:rsidRPr="00D677A8">
              <w:t>Male</w:t>
            </w:r>
          </w:p>
        </w:tc>
        <w:tc>
          <w:tcPr>
            <w:tcW w:w="349" w:type="pct"/>
            <w:vAlign w:val="bottom"/>
          </w:tcPr>
          <w:p w14:paraId="2E34B15C" w14:textId="77777777" w:rsidR="00B82D9F" w:rsidRPr="00D677A8" w:rsidRDefault="00B82D9F" w:rsidP="007343E2">
            <w:pPr>
              <w:pStyle w:val="Compact"/>
              <w:spacing w:line="480" w:lineRule="auto"/>
            </w:pPr>
            <w:r w:rsidRPr="00D677A8">
              <w:t>18</w:t>
            </w:r>
          </w:p>
        </w:tc>
        <w:tc>
          <w:tcPr>
            <w:tcW w:w="935"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7343E2">
            <w:pPr>
              <w:spacing w:line="480" w:lineRule="auto"/>
            </w:pPr>
          </w:p>
        </w:tc>
        <w:tc>
          <w:tcPr>
            <w:tcW w:w="1140"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7343E2">
            <w:pPr>
              <w:spacing w:line="480" w:lineRule="auto"/>
            </w:pPr>
          </w:p>
        </w:tc>
      </w:tr>
      <w:tr w:rsidR="00B82D9F" w:rsidRPr="00D677A8" w14:paraId="484E07E8" w14:textId="77777777" w:rsidTr="00F3146A">
        <w:tc>
          <w:tcPr>
            <w:tcW w:w="1335" w:type="pct"/>
            <w:vAlign w:val="bottom"/>
          </w:tcPr>
          <w:p w14:paraId="197C4EAA" w14:textId="77777777" w:rsidR="00B82D9F" w:rsidRPr="00D677A8" w:rsidRDefault="00B82D9F" w:rsidP="007343E2">
            <w:pPr>
              <w:pStyle w:val="Compact"/>
              <w:spacing w:line="480" w:lineRule="auto"/>
            </w:pPr>
            <w:r w:rsidRPr="00D677A8">
              <w:t>Russet Burbank</w:t>
            </w:r>
          </w:p>
        </w:tc>
        <w:tc>
          <w:tcPr>
            <w:tcW w:w="697" w:type="pct"/>
            <w:vAlign w:val="bottom"/>
          </w:tcPr>
          <w:p w14:paraId="50E299F0" w14:textId="77777777" w:rsidR="00B82D9F" w:rsidRPr="00D677A8" w:rsidRDefault="00B82D9F" w:rsidP="007343E2">
            <w:pPr>
              <w:pStyle w:val="Compact"/>
              <w:spacing w:line="480" w:lineRule="auto"/>
            </w:pPr>
            <w:r w:rsidRPr="00D677A8">
              <w:t>Female</w:t>
            </w:r>
          </w:p>
        </w:tc>
        <w:tc>
          <w:tcPr>
            <w:tcW w:w="349" w:type="pct"/>
            <w:vAlign w:val="bottom"/>
          </w:tcPr>
          <w:p w14:paraId="20385F49" w14:textId="77777777" w:rsidR="00B82D9F" w:rsidRPr="00D677A8" w:rsidRDefault="00B82D9F" w:rsidP="007343E2">
            <w:pPr>
              <w:pStyle w:val="Compact"/>
              <w:spacing w:line="480" w:lineRule="auto"/>
            </w:pPr>
            <w:r w:rsidRPr="00D677A8">
              <w:t>26</w:t>
            </w:r>
          </w:p>
        </w:tc>
        <w:tc>
          <w:tcPr>
            <w:tcW w:w="935"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273667">
            <w:pPr>
              <w:pStyle w:val="Compact"/>
              <w:spacing w:line="480" w:lineRule="auto"/>
            </w:pPr>
            <w:r w:rsidRPr="007029E4">
              <w:t>B</w:t>
            </w:r>
          </w:p>
        </w:tc>
        <w:tc>
          <w:tcPr>
            <w:tcW w:w="1140"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7343E2">
            <w:pPr>
              <w:spacing w:line="480" w:lineRule="auto"/>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7343E2">
            <w:pPr>
              <w:spacing w:line="480" w:lineRule="auto"/>
            </w:pPr>
          </w:p>
        </w:tc>
        <w:tc>
          <w:tcPr>
            <w:tcW w:w="697"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349" w:type="pct"/>
            <w:tcBorders>
              <w:bottom w:val="single" w:sz="4" w:space="0" w:color="auto"/>
            </w:tcBorders>
            <w:vAlign w:val="bottom"/>
          </w:tcPr>
          <w:p w14:paraId="085F0D2D" w14:textId="77777777" w:rsidR="00B82D9F" w:rsidRPr="00D677A8" w:rsidRDefault="00B82D9F" w:rsidP="007343E2">
            <w:pPr>
              <w:pStyle w:val="Compact"/>
              <w:spacing w:line="480" w:lineRule="auto"/>
            </w:pPr>
            <w:r w:rsidRPr="00D677A8">
              <w:t>18</w:t>
            </w:r>
          </w:p>
        </w:tc>
        <w:tc>
          <w:tcPr>
            <w:tcW w:w="935"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140"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684AF96F"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7343E2">
            <w:pPr>
              <w:pStyle w:val="Compact"/>
              <w:spacing w:line="480" w:lineRule="auto"/>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92"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335" w:type="pct"/>
            <w:tcBorders>
              <w:top w:val="single" w:sz="4" w:space="0" w:color="auto"/>
            </w:tcBorders>
            <w:vAlign w:val="bottom"/>
          </w:tcPr>
          <w:p w14:paraId="4088AB1F" w14:textId="77777777" w:rsidR="00B82D9F" w:rsidRPr="00D677A8" w:rsidRDefault="00B82D9F" w:rsidP="007343E2">
            <w:pPr>
              <w:pStyle w:val="Compact"/>
              <w:spacing w:line="480" w:lineRule="auto"/>
            </w:pPr>
            <w:r w:rsidRPr="00D677A8">
              <w:t>21</w:t>
            </w:r>
          </w:p>
        </w:tc>
        <w:tc>
          <w:tcPr>
            <w:tcW w:w="1103"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7343E2">
            <w:pPr>
              <w:spacing w:line="480" w:lineRule="auto"/>
            </w:pPr>
          </w:p>
        </w:tc>
      </w:tr>
      <w:tr w:rsidR="00B82D9F" w:rsidRPr="00D677A8" w14:paraId="0EDD4AC4" w14:textId="77777777" w:rsidTr="00F3146A">
        <w:tc>
          <w:tcPr>
            <w:tcW w:w="1280" w:type="pct"/>
            <w:vAlign w:val="bottom"/>
          </w:tcPr>
          <w:p w14:paraId="28FC6300" w14:textId="77777777" w:rsidR="00B82D9F" w:rsidRPr="00D677A8" w:rsidRDefault="00B82D9F" w:rsidP="007343E2">
            <w:pPr>
              <w:spacing w:line="480" w:lineRule="auto"/>
            </w:pPr>
          </w:p>
        </w:tc>
        <w:tc>
          <w:tcPr>
            <w:tcW w:w="668" w:type="pct"/>
            <w:vAlign w:val="bottom"/>
          </w:tcPr>
          <w:p w14:paraId="756EB2F1" w14:textId="77777777" w:rsidR="00B82D9F" w:rsidRPr="00D677A8" w:rsidRDefault="00B82D9F" w:rsidP="007343E2">
            <w:pPr>
              <w:pStyle w:val="Compact"/>
              <w:spacing w:line="480" w:lineRule="auto"/>
            </w:pPr>
            <w:r w:rsidRPr="00D677A8">
              <w:t>Male</w:t>
            </w:r>
          </w:p>
        </w:tc>
        <w:tc>
          <w:tcPr>
            <w:tcW w:w="335" w:type="pct"/>
            <w:vAlign w:val="bottom"/>
          </w:tcPr>
          <w:p w14:paraId="32D3AD61" w14:textId="77777777" w:rsidR="00B82D9F" w:rsidRPr="00D677A8" w:rsidRDefault="00B82D9F" w:rsidP="007343E2">
            <w:pPr>
              <w:pStyle w:val="Compact"/>
              <w:spacing w:line="480" w:lineRule="auto"/>
            </w:pPr>
            <w:r w:rsidRPr="00D677A8">
              <w:t>25</w:t>
            </w:r>
          </w:p>
        </w:tc>
        <w:tc>
          <w:tcPr>
            <w:tcW w:w="1103"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7343E2">
            <w:pPr>
              <w:spacing w:line="480" w:lineRule="auto"/>
            </w:pPr>
          </w:p>
        </w:tc>
        <w:tc>
          <w:tcPr>
            <w:tcW w:w="1092"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7343E2">
            <w:pPr>
              <w:spacing w:line="480" w:lineRule="auto"/>
            </w:pPr>
          </w:p>
        </w:tc>
      </w:tr>
      <w:tr w:rsidR="00B82D9F" w:rsidRPr="00D677A8" w14:paraId="72051E93" w14:textId="77777777" w:rsidTr="00F3146A">
        <w:tc>
          <w:tcPr>
            <w:tcW w:w="1280"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68" w:type="pct"/>
            <w:vAlign w:val="bottom"/>
          </w:tcPr>
          <w:p w14:paraId="7C3CC932" w14:textId="77777777" w:rsidR="00B82D9F" w:rsidRPr="00D677A8" w:rsidRDefault="00B82D9F" w:rsidP="007343E2">
            <w:pPr>
              <w:pStyle w:val="Compact"/>
              <w:spacing w:line="480" w:lineRule="auto"/>
            </w:pPr>
            <w:r w:rsidRPr="00D677A8">
              <w:t>Female</w:t>
            </w:r>
          </w:p>
        </w:tc>
        <w:tc>
          <w:tcPr>
            <w:tcW w:w="335" w:type="pct"/>
            <w:vAlign w:val="bottom"/>
          </w:tcPr>
          <w:p w14:paraId="42FF76B4" w14:textId="77777777" w:rsidR="00B82D9F" w:rsidRPr="00D677A8" w:rsidRDefault="00B82D9F" w:rsidP="007343E2">
            <w:pPr>
              <w:pStyle w:val="Compact"/>
              <w:spacing w:line="480" w:lineRule="auto"/>
            </w:pPr>
            <w:r w:rsidRPr="00D677A8">
              <w:t>27</w:t>
            </w:r>
          </w:p>
        </w:tc>
        <w:tc>
          <w:tcPr>
            <w:tcW w:w="1103"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92"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7343E2">
            <w:pPr>
              <w:spacing w:line="480" w:lineRule="auto"/>
            </w:pPr>
          </w:p>
        </w:tc>
      </w:tr>
      <w:tr w:rsidR="00B82D9F" w:rsidRPr="00D677A8" w14:paraId="06E1BF6B" w14:textId="77777777" w:rsidTr="00F3146A">
        <w:tc>
          <w:tcPr>
            <w:tcW w:w="1280" w:type="pct"/>
            <w:vAlign w:val="bottom"/>
          </w:tcPr>
          <w:p w14:paraId="4972E822" w14:textId="77777777" w:rsidR="00B82D9F" w:rsidRPr="00D677A8" w:rsidRDefault="00B82D9F" w:rsidP="007343E2">
            <w:pPr>
              <w:spacing w:line="480" w:lineRule="auto"/>
            </w:pPr>
          </w:p>
        </w:tc>
        <w:tc>
          <w:tcPr>
            <w:tcW w:w="668" w:type="pct"/>
            <w:vAlign w:val="bottom"/>
          </w:tcPr>
          <w:p w14:paraId="58404E92" w14:textId="77777777" w:rsidR="00B82D9F" w:rsidRPr="00D677A8" w:rsidRDefault="00B82D9F" w:rsidP="007343E2">
            <w:pPr>
              <w:pStyle w:val="Compact"/>
              <w:spacing w:line="480" w:lineRule="auto"/>
            </w:pPr>
            <w:r w:rsidRPr="00D677A8">
              <w:t>Male</w:t>
            </w:r>
          </w:p>
        </w:tc>
        <w:tc>
          <w:tcPr>
            <w:tcW w:w="335" w:type="pct"/>
            <w:vAlign w:val="bottom"/>
          </w:tcPr>
          <w:p w14:paraId="3613184C" w14:textId="77777777" w:rsidR="00B82D9F" w:rsidRPr="00D677A8" w:rsidRDefault="00B82D9F" w:rsidP="007343E2">
            <w:pPr>
              <w:pStyle w:val="Compact"/>
              <w:spacing w:line="480" w:lineRule="auto"/>
            </w:pPr>
            <w:r w:rsidRPr="00D677A8">
              <w:t>21</w:t>
            </w:r>
          </w:p>
        </w:tc>
        <w:tc>
          <w:tcPr>
            <w:tcW w:w="1103"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7343E2">
            <w:pPr>
              <w:spacing w:line="480" w:lineRule="auto"/>
            </w:pPr>
          </w:p>
        </w:tc>
        <w:tc>
          <w:tcPr>
            <w:tcW w:w="1092"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7343E2">
            <w:pPr>
              <w:spacing w:line="480" w:lineRule="auto"/>
            </w:pPr>
          </w:p>
        </w:tc>
      </w:tr>
      <w:tr w:rsidR="00B82D9F" w:rsidRPr="00D677A8" w14:paraId="4223783E" w14:textId="77777777" w:rsidTr="00F3146A">
        <w:tc>
          <w:tcPr>
            <w:tcW w:w="1280"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68" w:type="pct"/>
            <w:vAlign w:val="bottom"/>
          </w:tcPr>
          <w:p w14:paraId="4C67E769" w14:textId="77777777" w:rsidR="00B82D9F" w:rsidRPr="00D677A8" w:rsidRDefault="00B82D9F" w:rsidP="007343E2">
            <w:pPr>
              <w:pStyle w:val="Compact"/>
              <w:spacing w:line="480" w:lineRule="auto"/>
            </w:pPr>
            <w:r w:rsidRPr="00D677A8">
              <w:t>Female</w:t>
            </w:r>
          </w:p>
        </w:tc>
        <w:tc>
          <w:tcPr>
            <w:tcW w:w="335" w:type="pct"/>
            <w:vAlign w:val="bottom"/>
          </w:tcPr>
          <w:p w14:paraId="49258930" w14:textId="77777777" w:rsidR="00B82D9F" w:rsidRPr="00D677A8" w:rsidRDefault="00B82D9F" w:rsidP="007343E2">
            <w:pPr>
              <w:pStyle w:val="Compact"/>
              <w:spacing w:line="480" w:lineRule="auto"/>
            </w:pPr>
            <w:r w:rsidRPr="00D677A8">
              <w:t>25</w:t>
            </w:r>
          </w:p>
        </w:tc>
        <w:tc>
          <w:tcPr>
            <w:tcW w:w="1103"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92"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7343E2">
            <w:pPr>
              <w:spacing w:line="480" w:lineRule="auto"/>
            </w:pPr>
          </w:p>
        </w:tc>
      </w:tr>
      <w:tr w:rsidR="00B82D9F" w:rsidRPr="00D677A8" w14:paraId="738FEB6A" w14:textId="77777777" w:rsidTr="00F3146A">
        <w:tc>
          <w:tcPr>
            <w:tcW w:w="1280" w:type="pct"/>
            <w:vAlign w:val="bottom"/>
          </w:tcPr>
          <w:p w14:paraId="65C8B338" w14:textId="77777777" w:rsidR="00B82D9F" w:rsidRPr="00D677A8" w:rsidRDefault="00B82D9F" w:rsidP="007343E2">
            <w:pPr>
              <w:spacing w:line="480" w:lineRule="auto"/>
            </w:pPr>
          </w:p>
        </w:tc>
        <w:tc>
          <w:tcPr>
            <w:tcW w:w="668" w:type="pct"/>
            <w:vAlign w:val="bottom"/>
          </w:tcPr>
          <w:p w14:paraId="5F905D3C" w14:textId="77777777" w:rsidR="00B82D9F" w:rsidRPr="00D677A8" w:rsidRDefault="00B82D9F" w:rsidP="007343E2">
            <w:pPr>
              <w:pStyle w:val="Compact"/>
              <w:spacing w:line="480" w:lineRule="auto"/>
            </w:pPr>
            <w:r w:rsidRPr="00D677A8">
              <w:t>Male</w:t>
            </w:r>
          </w:p>
        </w:tc>
        <w:tc>
          <w:tcPr>
            <w:tcW w:w="335" w:type="pct"/>
            <w:vAlign w:val="bottom"/>
          </w:tcPr>
          <w:p w14:paraId="4055A43C" w14:textId="77777777" w:rsidR="00B82D9F" w:rsidRPr="00D677A8" w:rsidRDefault="00B82D9F" w:rsidP="007343E2">
            <w:pPr>
              <w:pStyle w:val="Compact"/>
              <w:spacing w:line="480" w:lineRule="auto"/>
            </w:pPr>
            <w:r w:rsidRPr="00D677A8">
              <w:t>18</w:t>
            </w:r>
          </w:p>
        </w:tc>
        <w:tc>
          <w:tcPr>
            <w:tcW w:w="1103"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7343E2">
            <w:pPr>
              <w:spacing w:line="480" w:lineRule="auto"/>
            </w:pPr>
          </w:p>
        </w:tc>
        <w:tc>
          <w:tcPr>
            <w:tcW w:w="1092"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7343E2">
            <w:pPr>
              <w:spacing w:line="480" w:lineRule="auto"/>
            </w:pPr>
          </w:p>
        </w:tc>
      </w:tr>
      <w:tr w:rsidR="00B82D9F" w:rsidRPr="00D677A8" w14:paraId="1BB94702" w14:textId="77777777" w:rsidTr="00F3146A">
        <w:tc>
          <w:tcPr>
            <w:tcW w:w="1280" w:type="pct"/>
            <w:vAlign w:val="bottom"/>
          </w:tcPr>
          <w:p w14:paraId="73472F93" w14:textId="77777777" w:rsidR="00B82D9F" w:rsidRPr="00D677A8" w:rsidRDefault="00B82D9F" w:rsidP="007343E2">
            <w:pPr>
              <w:pStyle w:val="Compact"/>
              <w:spacing w:line="480" w:lineRule="auto"/>
            </w:pPr>
            <w:r w:rsidRPr="00D677A8">
              <w:t>Russet Burbank</w:t>
            </w:r>
          </w:p>
        </w:tc>
        <w:tc>
          <w:tcPr>
            <w:tcW w:w="668" w:type="pct"/>
            <w:vAlign w:val="bottom"/>
          </w:tcPr>
          <w:p w14:paraId="0CF9142A" w14:textId="77777777" w:rsidR="00B82D9F" w:rsidRPr="00D677A8" w:rsidRDefault="00B82D9F" w:rsidP="007343E2">
            <w:pPr>
              <w:pStyle w:val="Compact"/>
              <w:spacing w:line="480" w:lineRule="auto"/>
            </w:pPr>
            <w:r w:rsidRPr="00D677A8">
              <w:t>Female</w:t>
            </w:r>
          </w:p>
        </w:tc>
        <w:tc>
          <w:tcPr>
            <w:tcW w:w="335" w:type="pct"/>
            <w:vAlign w:val="bottom"/>
          </w:tcPr>
          <w:p w14:paraId="4A87492D" w14:textId="77777777" w:rsidR="00B82D9F" w:rsidRPr="00D677A8" w:rsidRDefault="00B82D9F" w:rsidP="007343E2">
            <w:pPr>
              <w:pStyle w:val="Compact"/>
              <w:spacing w:line="480" w:lineRule="auto"/>
            </w:pPr>
            <w:r w:rsidRPr="00D677A8">
              <w:t>26</w:t>
            </w:r>
          </w:p>
        </w:tc>
        <w:tc>
          <w:tcPr>
            <w:tcW w:w="1103"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92"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7343E2">
            <w:pPr>
              <w:spacing w:line="480" w:lineRule="auto"/>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7343E2">
            <w:pPr>
              <w:spacing w:line="480" w:lineRule="auto"/>
            </w:pPr>
          </w:p>
        </w:tc>
        <w:tc>
          <w:tcPr>
            <w:tcW w:w="668"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335" w:type="pct"/>
            <w:tcBorders>
              <w:bottom w:val="single" w:sz="4" w:space="0" w:color="auto"/>
            </w:tcBorders>
            <w:vAlign w:val="bottom"/>
          </w:tcPr>
          <w:p w14:paraId="13FB8F46" w14:textId="77777777" w:rsidR="00B82D9F" w:rsidRPr="00D677A8" w:rsidRDefault="00B82D9F" w:rsidP="007343E2">
            <w:pPr>
              <w:pStyle w:val="Compact"/>
              <w:spacing w:line="480" w:lineRule="auto"/>
            </w:pPr>
            <w:r w:rsidRPr="00D677A8">
              <w:t>18</w:t>
            </w:r>
          </w:p>
        </w:tc>
        <w:tc>
          <w:tcPr>
            <w:tcW w:w="1103"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92"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46F58615"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7343E2">
            <w:pPr>
              <w:pStyle w:val="Compact"/>
              <w:spacing w:line="480" w:lineRule="auto"/>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225"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355" w:type="pct"/>
            <w:tcBorders>
              <w:top w:val="single" w:sz="4" w:space="0" w:color="auto"/>
            </w:tcBorders>
            <w:vAlign w:val="center"/>
          </w:tcPr>
          <w:p w14:paraId="4A30FD99" w14:textId="77777777" w:rsidR="00B82D9F" w:rsidRPr="00D677A8" w:rsidRDefault="00B82D9F" w:rsidP="007343E2">
            <w:pPr>
              <w:pStyle w:val="Compact"/>
              <w:spacing w:line="480" w:lineRule="auto"/>
            </w:pPr>
            <w:r w:rsidRPr="00D677A8">
              <w:t>21</w:t>
            </w:r>
          </w:p>
        </w:tc>
        <w:tc>
          <w:tcPr>
            <w:tcW w:w="102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7343E2">
            <w:pPr>
              <w:spacing w:line="480" w:lineRule="auto"/>
            </w:pPr>
          </w:p>
        </w:tc>
        <w:tc>
          <w:tcPr>
            <w:tcW w:w="1225"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7343E2">
            <w:pPr>
              <w:spacing w:line="480" w:lineRule="auto"/>
            </w:pPr>
          </w:p>
        </w:tc>
      </w:tr>
      <w:tr w:rsidR="00B82D9F" w:rsidRPr="00D677A8" w14:paraId="2A3F88A9" w14:textId="77777777" w:rsidTr="00525195">
        <w:tc>
          <w:tcPr>
            <w:tcW w:w="1357" w:type="pct"/>
            <w:vAlign w:val="center"/>
          </w:tcPr>
          <w:p w14:paraId="68C6E992" w14:textId="77777777" w:rsidR="00B82D9F" w:rsidRPr="00D677A8" w:rsidRDefault="00B82D9F" w:rsidP="007343E2">
            <w:pPr>
              <w:spacing w:line="480" w:lineRule="auto"/>
            </w:pPr>
          </w:p>
        </w:tc>
        <w:tc>
          <w:tcPr>
            <w:tcW w:w="708" w:type="pct"/>
            <w:vAlign w:val="center"/>
          </w:tcPr>
          <w:p w14:paraId="31FB7409" w14:textId="77777777" w:rsidR="00B82D9F" w:rsidRPr="00D677A8" w:rsidRDefault="00B82D9F" w:rsidP="007343E2">
            <w:pPr>
              <w:pStyle w:val="Compact"/>
              <w:spacing w:line="480" w:lineRule="auto"/>
            </w:pPr>
            <w:r w:rsidRPr="00D677A8">
              <w:t>Male</w:t>
            </w:r>
          </w:p>
        </w:tc>
        <w:tc>
          <w:tcPr>
            <w:tcW w:w="355" w:type="pct"/>
            <w:vAlign w:val="center"/>
          </w:tcPr>
          <w:p w14:paraId="169F49A0" w14:textId="77777777" w:rsidR="00B82D9F" w:rsidRPr="00D677A8" w:rsidRDefault="00B82D9F" w:rsidP="007343E2">
            <w:pPr>
              <w:pStyle w:val="Compact"/>
              <w:spacing w:line="480" w:lineRule="auto"/>
            </w:pPr>
            <w:r w:rsidRPr="00D677A8">
              <w:t>25</w:t>
            </w:r>
          </w:p>
        </w:tc>
        <w:tc>
          <w:tcPr>
            <w:tcW w:w="102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7343E2">
            <w:pPr>
              <w:spacing w:line="480" w:lineRule="auto"/>
            </w:pPr>
          </w:p>
        </w:tc>
        <w:tc>
          <w:tcPr>
            <w:tcW w:w="1225"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7343E2">
            <w:pPr>
              <w:spacing w:line="480" w:lineRule="auto"/>
            </w:pPr>
          </w:p>
        </w:tc>
      </w:tr>
      <w:tr w:rsidR="00B82D9F" w:rsidRPr="00D677A8" w14:paraId="205B39FC" w14:textId="77777777" w:rsidTr="00525195">
        <w:tc>
          <w:tcPr>
            <w:tcW w:w="1357"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708" w:type="pct"/>
            <w:vAlign w:val="center"/>
          </w:tcPr>
          <w:p w14:paraId="2A7F37EA" w14:textId="77777777" w:rsidR="00B82D9F" w:rsidRPr="00D677A8" w:rsidRDefault="00B82D9F" w:rsidP="007343E2">
            <w:pPr>
              <w:pStyle w:val="Compact"/>
              <w:spacing w:line="480" w:lineRule="auto"/>
            </w:pPr>
            <w:r w:rsidRPr="00D677A8">
              <w:t>Female</w:t>
            </w:r>
          </w:p>
        </w:tc>
        <w:tc>
          <w:tcPr>
            <w:tcW w:w="355" w:type="pct"/>
            <w:vAlign w:val="center"/>
          </w:tcPr>
          <w:p w14:paraId="6D90DC54" w14:textId="77777777" w:rsidR="00B82D9F" w:rsidRPr="00D677A8" w:rsidRDefault="00B82D9F" w:rsidP="007343E2">
            <w:pPr>
              <w:pStyle w:val="Compact"/>
              <w:spacing w:line="480" w:lineRule="auto"/>
            </w:pPr>
            <w:r w:rsidRPr="00D677A8">
              <w:t>27</w:t>
            </w:r>
          </w:p>
        </w:tc>
        <w:tc>
          <w:tcPr>
            <w:tcW w:w="102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7343E2">
            <w:pPr>
              <w:spacing w:line="480" w:lineRule="auto"/>
            </w:pPr>
          </w:p>
        </w:tc>
        <w:tc>
          <w:tcPr>
            <w:tcW w:w="1225"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7343E2">
            <w:pPr>
              <w:spacing w:line="480" w:lineRule="auto"/>
            </w:pPr>
          </w:p>
        </w:tc>
      </w:tr>
      <w:tr w:rsidR="00B82D9F" w:rsidRPr="00D677A8" w14:paraId="7731A8D5" w14:textId="77777777" w:rsidTr="00525195">
        <w:tc>
          <w:tcPr>
            <w:tcW w:w="1357" w:type="pct"/>
            <w:vAlign w:val="center"/>
          </w:tcPr>
          <w:p w14:paraId="66CC4E30" w14:textId="77777777" w:rsidR="00B82D9F" w:rsidRPr="00D677A8" w:rsidRDefault="00B82D9F" w:rsidP="007343E2">
            <w:pPr>
              <w:spacing w:line="480" w:lineRule="auto"/>
            </w:pPr>
          </w:p>
        </w:tc>
        <w:tc>
          <w:tcPr>
            <w:tcW w:w="708" w:type="pct"/>
            <w:vAlign w:val="center"/>
          </w:tcPr>
          <w:p w14:paraId="46E078E1" w14:textId="77777777" w:rsidR="00B82D9F" w:rsidRPr="00D677A8" w:rsidRDefault="00B82D9F" w:rsidP="007343E2">
            <w:pPr>
              <w:pStyle w:val="Compact"/>
              <w:spacing w:line="480" w:lineRule="auto"/>
            </w:pPr>
            <w:r w:rsidRPr="00D677A8">
              <w:t>Male</w:t>
            </w:r>
          </w:p>
        </w:tc>
        <w:tc>
          <w:tcPr>
            <w:tcW w:w="355" w:type="pct"/>
            <w:vAlign w:val="center"/>
          </w:tcPr>
          <w:p w14:paraId="2C8A29BB" w14:textId="77777777" w:rsidR="00B82D9F" w:rsidRPr="00D677A8" w:rsidRDefault="00B82D9F" w:rsidP="007343E2">
            <w:pPr>
              <w:pStyle w:val="Compact"/>
              <w:spacing w:line="480" w:lineRule="auto"/>
            </w:pPr>
            <w:r w:rsidRPr="00D677A8">
              <w:t>21</w:t>
            </w:r>
          </w:p>
        </w:tc>
        <w:tc>
          <w:tcPr>
            <w:tcW w:w="102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7343E2">
            <w:pPr>
              <w:spacing w:line="480" w:lineRule="auto"/>
            </w:pPr>
          </w:p>
        </w:tc>
        <w:tc>
          <w:tcPr>
            <w:tcW w:w="1225"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63" w:type="pct"/>
            <w:vAlign w:val="center"/>
          </w:tcPr>
          <w:p w14:paraId="7D9C7B43" w14:textId="77777777" w:rsidR="00B82D9F" w:rsidRPr="00D677A8" w:rsidRDefault="00B82D9F" w:rsidP="007343E2">
            <w:pPr>
              <w:spacing w:line="480" w:lineRule="auto"/>
            </w:pPr>
          </w:p>
        </w:tc>
      </w:tr>
      <w:tr w:rsidR="00B82D9F" w:rsidRPr="00D677A8" w14:paraId="71595014" w14:textId="77777777" w:rsidTr="00525195">
        <w:tc>
          <w:tcPr>
            <w:tcW w:w="1357"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708" w:type="pct"/>
            <w:vAlign w:val="center"/>
          </w:tcPr>
          <w:p w14:paraId="38399C78" w14:textId="77777777" w:rsidR="00B82D9F" w:rsidRPr="00D677A8" w:rsidRDefault="00B82D9F" w:rsidP="007343E2">
            <w:pPr>
              <w:pStyle w:val="Compact"/>
              <w:spacing w:line="480" w:lineRule="auto"/>
            </w:pPr>
            <w:r w:rsidRPr="00D677A8">
              <w:t>Female</w:t>
            </w:r>
          </w:p>
        </w:tc>
        <w:tc>
          <w:tcPr>
            <w:tcW w:w="355" w:type="pct"/>
            <w:vAlign w:val="center"/>
          </w:tcPr>
          <w:p w14:paraId="153475F9" w14:textId="77777777" w:rsidR="00B82D9F" w:rsidRPr="00D677A8" w:rsidRDefault="00B82D9F" w:rsidP="007343E2">
            <w:pPr>
              <w:pStyle w:val="Compact"/>
              <w:spacing w:line="480" w:lineRule="auto"/>
            </w:pPr>
            <w:r w:rsidRPr="00D677A8">
              <w:t>25</w:t>
            </w:r>
          </w:p>
        </w:tc>
        <w:tc>
          <w:tcPr>
            <w:tcW w:w="102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7343E2">
            <w:pPr>
              <w:spacing w:line="480" w:lineRule="auto"/>
            </w:pPr>
          </w:p>
        </w:tc>
        <w:tc>
          <w:tcPr>
            <w:tcW w:w="1225"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7343E2">
            <w:pPr>
              <w:spacing w:line="480" w:lineRule="auto"/>
            </w:pPr>
          </w:p>
        </w:tc>
      </w:tr>
      <w:tr w:rsidR="00B82D9F" w:rsidRPr="00D677A8" w14:paraId="614F2D7E" w14:textId="77777777" w:rsidTr="00525195">
        <w:tc>
          <w:tcPr>
            <w:tcW w:w="1357" w:type="pct"/>
            <w:vAlign w:val="center"/>
          </w:tcPr>
          <w:p w14:paraId="0A620475" w14:textId="77777777" w:rsidR="00B82D9F" w:rsidRPr="00D677A8" w:rsidRDefault="00B82D9F" w:rsidP="007343E2">
            <w:pPr>
              <w:spacing w:line="480" w:lineRule="auto"/>
            </w:pPr>
          </w:p>
        </w:tc>
        <w:tc>
          <w:tcPr>
            <w:tcW w:w="708" w:type="pct"/>
            <w:vAlign w:val="center"/>
          </w:tcPr>
          <w:p w14:paraId="6D51B346" w14:textId="77777777" w:rsidR="00B82D9F" w:rsidRPr="00D677A8" w:rsidRDefault="00B82D9F" w:rsidP="007343E2">
            <w:pPr>
              <w:pStyle w:val="Compact"/>
              <w:spacing w:line="480" w:lineRule="auto"/>
            </w:pPr>
            <w:r w:rsidRPr="00D677A8">
              <w:t>Male</w:t>
            </w:r>
          </w:p>
        </w:tc>
        <w:tc>
          <w:tcPr>
            <w:tcW w:w="355" w:type="pct"/>
            <w:vAlign w:val="center"/>
          </w:tcPr>
          <w:p w14:paraId="72577C2A" w14:textId="77777777" w:rsidR="00B82D9F" w:rsidRPr="00D677A8" w:rsidRDefault="00B82D9F" w:rsidP="007343E2">
            <w:pPr>
              <w:pStyle w:val="Compact"/>
              <w:spacing w:line="480" w:lineRule="auto"/>
            </w:pPr>
            <w:r w:rsidRPr="00D677A8">
              <w:t>18</w:t>
            </w:r>
          </w:p>
        </w:tc>
        <w:tc>
          <w:tcPr>
            <w:tcW w:w="102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7343E2">
            <w:pPr>
              <w:spacing w:line="480" w:lineRule="auto"/>
            </w:pPr>
          </w:p>
        </w:tc>
        <w:tc>
          <w:tcPr>
            <w:tcW w:w="1225"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7343E2">
            <w:pPr>
              <w:spacing w:line="480" w:lineRule="auto"/>
            </w:pPr>
          </w:p>
        </w:tc>
      </w:tr>
      <w:tr w:rsidR="00B82D9F" w:rsidRPr="00D677A8" w14:paraId="0765FD58" w14:textId="77777777" w:rsidTr="00525195">
        <w:tc>
          <w:tcPr>
            <w:tcW w:w="1357" w:type="pct"/>
            <w:vAlign w:val="center"/>
          </w:tcPr>
          <w:p w14:paraId="359127CC" w14:textId="77777777" w:rsidR="00B82D9F" w:rsidRPr="00D677A8" w:rsidRDefault="00B82D9F" w:rsidP="007343E2">
            <w:pPr>
              <w:pStyle w:val="Compact"/>
              <w:spacing w:line="480" w:lineRule="auto"/>
            </w:pPr>
            <w:r w:rsidRPr="00D677A8">
              <w:t>Russet Burbank</w:t>
            </w:r>
          </w:p>
        </w:tc>
        <w:tc>
          <w:tcPr>
            <w:tcW w:w="708" w:type="pct"/>
            <w:vAlign w:val="center"/>
          </w:tcPr>
          <w:p w14:paraId="1CB07B9A" w14:textId="77777777" w:rsidR="00B82D9F" w:rsidRPr="00D677A8" w:rsidRDefault="00B82D9F" w:rsidP="007343E2">
            <w:pPr>
              <w:pStyle w:val="Compact"/>
              <w:spacing w:line="480" w:lineRule="auto"/>
            </w:pPr>
            <w:r w:rsidRPr="00D677A8">
              <w:t>Female</w:t>
            </w:r>
          </w:p>
        </w:tc>
        <w:tc>
          <w:tcPr>
            <w:tcW w:w="355" w:type="pct"/>
            <w:vAlign w:val="center"/>
          </w:tcPr>
          <w:p w14:paraId="39828927" w14:textId="77777777" w:rsidR="00B82D9F" w:rsidRPr="00D677A8" w:rsidRDefault="00B82D9F" w:rsidP="007343E2">
            <w:pPr>
              <w:pStyle w:val="Compact"/>
              <w:spacing w:line="480" w:lineRule="auto"/>
            </w:pPr>
            <w:r w:rsidRPr="00D677A8">
              <w:t>26</w:t>
            </w:r>
          </w:p>
        </w:tc>
        <w:tc>
          <w:tcPr>
            <w:tcW w:w="102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7343E2">
            <w:pPr>
              <w:spacing w:line="480" w:lineRule="auto"/>
            </w:pPr>
          </w:p>
        </w:tc>
        <w:tc>
          <w:tcPr>
            <w:tcW w:w="1225"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7343E2">
            <w:pPr>
              <w:spacing w:line="480" w:lineRule="auto"/>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7343E2">
            <w:pPr>
              <w:spacing w:line="480" w:lineRule="auto"/>
            </w:pPr>
          </w:p>
        </w:tc>
        <w:tc>
          <w:tcPr>
            <w:tcW w:w="708"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355" w:type="pct"/>
            <w:tcBorders>
              <w:bottom w:val="single" w:sz="4" w:space="0" w:color="auto"/>
            </w:tcBorders>
            <w:vAlign w:val="center"/>
          </w:tcPr>
          <w:p w14:paraId="4488768B" w14:textId="77777777" w:rsidR="00B82D9F" w:rsidRPr="00D677A8" w:rsidRDefault="00B82D9F" w:rsidP="007343E2">
            <w:pPr>
              <w:pStyle w:val="Compact"/>
              <w:spacing w:line="480" w:lineRule="auto"/>
            </w:pPr>
            <w:r w:rsidRPr="00D677A8">
              <w:t>18</w:t>
            </w:r>
          </w:p>
        </w:tc>
        <w:tc>
          <w:tcPr>
            <w:tcW w:w="102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7343E2">
            <w:pPr>
              <w:spacing w:line="480" w:lineRule="auto"/>
            </w:pPr>
          </w:p>
        </w:tc>
        <w:tc>
          <w:tcPr>
            <w:tcW w:w="1225"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77777777" w:rsidR="00B82D9F" w:rsidRDefault="00B82D9F" w:rsidP="007343E2">
      <w:pPr>
        <w:pStyle w:val="BodyText"/>
        <w:spacing w:line="480" w:lineRule="auto"/>
      </w:pPr>
      <w:r>
        <w:br w:type="page"/>
      </w:r>
    </w:p>
    <w:p w14:paraId="1FBC2505" w14:textId="065FC0CD"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90"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7343E2">
            <w:pPr>
              <w:pStyle w:val="Compact"/>
              <w:spacing w:line="480" w:lineRule="auto"/>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662"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296" w:type="pct"/>
            <w:tcBorders>
              <w:top w:val="single" w:sz="4" w:space="0" w:color="auto"/>
            </w:tcBorders>
            <w:vAlign w:val="bottom"/>
          </w:tcPr>
          <w:p w14:paraId="255D52F9" w14:textId="77777777" w:rsidR="00B82D9F" w:rsidRPr="00D677A8" w:rsidRDefault="00B82D9F" w:rsidP="007343E2">
            <w:pPr>
              <w:pStyle w:val="Compact"/>
              <w:spacing w:line="480" w:lineRule="auto"/>
            </w:pPr>
            <w:r w:rsidRPr="00D677A8">
              <w:t>21</w:t>
            </w:r>
          </w:p>
        </w:tc>
        <w:tc>
          <w:tcPr>
            <w:tcW w:w="858"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7343E2">
            <w:pPr>
              <w:spacing w:line="480" w:lineRule="auto"/>
            </w:pPr>
          </w:p>
        </w:tc>
        <w:tc>
          <w:tcPr>
            <w:tcW w:w="1662"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7343E2">
            <w:pPr>
              <w:spacing w:line="480" w:lineRule="auto"/>
            </w:pPr>
          </w:p>
        </w:tc>
        <w:tc>
          <w:tcPr>
            <w:tcW w:w="590" w:type="pct"/>
            <w:vAlign w:val="bottom"/>
          </w:tcPr>
          <w:p w14:paraId="13319A9D" w14:textId="77777777" w:rsidR="00B82D9F" w:rsidRPr="00D677A8" w:rsidRDefault="00B82D9F" w:rsidP="007343E2">
            <w:pPr>
              <w:pStyle w:val="Compact"/>
              <w:spacing w:line="480" w:lineRule="auto"/>
            </w:pPr>
            <w:r w:rsidRPr="00D677A8">
              <w:t>Male</w:t>
            </w:r>
          </w:p>
        </w:tc>
        <w:tc>
          <w:tcPr>
            <w:tcW w:w="296" w:type="pct"/>
            <w:vAlign w:val="bottom"/>
          </w:tcPr>
          <w:p w14:paraId="71052B02" w14:textId="77777777" w:rsidR="00B82D9F" w:rsidRPr="00D677A8" w:rsidRDefault="00B82D9F" w:rsidP="007343E2">
            <w:pPr>
              <w:pStyle w:val="Compact"/>
              <w:spacing w:line="480" w:lineRule="auto"/>
            </w:pPr>
            <w:r w:rsidRPr="00D677A8">
              <w:t>25</w:t>
            </w:r>
          </w:p>
        </w:tc>
        <w:tc>
          <w:tcPr>
            <w:tcW w:w="858"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7343E2">
            <w:pPr>
              <w:spacing w:line="480" w:lineRule="auto"/>
            </w:pPr>
          </w:p>
        </w:tc>
        <w:tc>
          <w:tcPr>
            <w:tcW w:w="1662"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7343E2">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90" w:type="pct"/>
            <w:vAlign w:val="bottom"/>
          </w:tcPr>
          <w:p w14:paraId="2ECFFBBE" w14:textId="77777777" w:rsidR="00B82D9F" w:rsidRPr="00D677A8" w:rsidRDefault="00B82D9F" w:rsidP="007343E2">
            <w:pPr>
              <w:pStyle w:val="Compact"/>
              <w:spacing w:line="480" w:lineRule="auto"/>
            </w:pPr>
            <w:r w:rsidRPr="00D677A8">
              <w:t>Female</w:t>
            </w:r>
          </w:p>
        </w:tc>
        <w:tc>
          <w:tcPr>
            <w:tcW w:w="296" w:type="pct"/>
            <w:vAlign w:val="bottom"/>
          </w:tcPr>
          <w:p w14:paraId="7BF983F5" w14:textId="77777777" w:rsidR="00B82D9F" w:rsidRPr="00D677A8" w:rsidRDefault="00B82D9F" w:rsidP="007343E2">
            <w:pPr>
              <w:pStyle w:val="Compact"/>
              <w:spacing w:line="480" w:lineRule="auto"/>
            </w:pPr>
            <w:r w:rsidRPr="00D677A8">
              <w:t>27</w:t>
            </w:r>
          </w:p>
        </w:tc>
        <w:tc>
          <w:tcPr>
            <w:tcW w:w="858"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7343E2">
            <w:pPr>
              <w:spacing w:line="480" w:lineRule="auto"/>
            </w:pPr>
          </w:p>
        </w:tc>
        <w:tc>
          <w:tcPr>
            <w:tcW w:w="1662"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273667">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7343E2">
            <w:pPr>
              <w:spacing w:line="480" w:lineRule="auto"/>
            </w:pPr>
          </w:p>
        </w:tc>
        <w:tc>
          <w:tcPr>
            <w:tcW w:w="590" w:type="pct"/>
            <w:vAlign w:val="bottom"/>
          </w:tcPr>
          <w:p w14:paraId="0CC4E117" w14:textId="77777777" w:rsidR="00B82D9F" w:rsidRPr="00D677A8" w:rsidRDefault="00B82D9F" w:rsidP="007343E2">
            <w:pPr>
              <w:pStyle w:val="Compact"/>
              <w:spacing w:line="480" w:lineRule="auto"/>
            </w:pPr>
            <w:r w:rsidRPr="00D677A8">
              <w:t>Male</w:t>
            </w:r>
          </w:p>
        </w:tc>
        <w:tc>
          <w:tcPr>
            <w:tcW w:w="296" w:type="pct"/>
            <w:vAlign w:val="bottom"/>
          </w:tcPr>
          <w:p w14:paraId="77FBDB43" w14:textId="77777777" w:rsidR="00B82D9F" w:rsidRPr="00D677A8" w:rsidRDefault="00B82D9F" w:rsidP="007343E2">
            <w:pPr>
              <w:pStyle w:val="Compact"/>
              <w:spacing w:line="480" w:lineRule="auto"/>
            </w:pPr>
            <w:r w:rsidRPr="00D677A8">
              <w:t>21</w:t>
            </w:r>
          </w:p>
        </w:tc>
        <w:tc>
          <w:tcPr>
            <w:tcW w:w="858"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7343E2">
            <w:pPr>
              <w:spacing w:line="480" w:lineRule="auto"/>
            </w:pPr>
          </w:p>
        </w:tc>
        <w:tc>
          <w:tcPr>
            <w:tcW w:w="1662"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7343E2">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90" w:type="pct"/>
            <w:vAlign w:val="bottom"/>
          </w:tcPr>
          <w:p w14:paraId="1F564D4C" w14:textId="77777777" w:rsidR="00B82D9F" w:rsidRPr="00D677A8" w:rsidRDefault="00B82D9F" w:rsidP="007343E2">
            <w:pPr>
              <w:pStyle w:val="Compact"/>
              <w:spacing w:line="480" w:lineRule="auto"/>
            </w:pPr>
            <w:r w:rsidRPr="00D677A8">
              <w:t>Female</w:t>
            </w:r>
          </w:p>
        </w:tc>
        <w:tc>
          <w:tcPr>
            <w:tcW w:w="296" w:type="pct"/>
            <w:vAlign w:val="bottom"/>
          </w:tcPr>
          <w:p w14:paraId="4CE00EBC" w14:textId="77777777" w:rsidR="00B82D9F" w:rsidRPr="00D677A8" w:rsidRDefault="00B82D9F" w:rsidP="007343E2">
            <w:pPr>
              <w:pStyle w:val="Compact"/>
              <w:spacing w:line="480" w:lineRule="auto"/>
            </w:pPr>
            <w:r w:rsidRPr="00D677A8">
              <w:t>25</w:t>
            </w:r>
          </w:p>
        </w:tc>
        <w:tc>
          <w:tcPr>
            <w:tcW w:w="858"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7343E2">
            <w:pPr>
              <w:spacing w:line="480" w:lineRule="auto"/>
            </w:pPr>
          </w:p>
        </w:tc>
        <w:tc>
          <w:tcPr>
            <w:tcW w:w="1662"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273667">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7343E2">
            <w:pPr>
              <w:spacing w:line="480" w:lineRule="auto"/>
            </w:pPr>
          </w:p>
        </w:tc>
        <w:tc>
          <w:tcPr>
            <w:tcW w:w="590" w:type="pct"/>
            <w:vAlign w:val="bottom"/>
          </w:tcPr>
          <w:p w14:paraId="05748A7E" w14:textId="77777777" w:rsidR="00B82D9F" w:rsidRPr="00D677A8" w:rsidRDefault="00B82D9F" w:rsidP="007343E2">
            <w:pPr>
              <w:pStyle w:val="Compact"/>
              <w:spacing w:line="480" w:lineRule="auto"/>
            </w:pPr>
            <w:r w:rsidRPr="00D677A8">
              <w:t>Male</w:t>
            </w:r>
          </w:p>
        </w:tc>
        <w:tc>
          <w:tcPr>
            <w:tcW w:w="296" w:type="pct"/>
            <w:vAlign w:val="bottom"/>
          </w:tcPr>
          <w:p w14:paraId="62F1B11A" w14:textId="77777777" w:rsidR="00B82D9F" w:rsidRPr="00D677A8" w:rsidRDefault="00B82D9F" w:rsidP="007343E2">
            <w:pPr>
              <w:pStyle w:val="Compact"/>
              <w:spacing w:line="480" w:lineRule="auto"/>
            </w:pPr>
            <w:r w:rsidRPr="00D677A8">
              <w:t>18</w:t>
            </w:r>
          </w:p>
        </w:tc>
        <w:tc>
          <w:tcPr>
            <w:tcW w:w="858"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7343E2">
            <w:pPr>
              <w:spacing w:line="480" w:lineRule="auto"/>
            </w:pPr>
          </w:p>
        </w:tc>
        <w:tc>
          <w:tcPr>
            <w:tcW w:w="1662"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7343E2">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7343E2">
            <w:pPr>
              <w:pStyle w:val="Compact"/>
              <w:spacing w:line="480" w:lineRule="auto"/>
            </w:pPr>
            <w:r w:rsidRPr="00D677A8">
              <w:t>Russet Burbank</w:t>
            </w:r>
          </w:p>
        </w:tc>
        <w:tc>
          <w:tcPr>
            <w:tcW w:w="590" w:type="pct"/>
            <w:vAlign w:val="bottom"/>
          </w:tcPr>
          <w:p w14:paraId="6AEC6954" w14:textId="77777777" w:rsidR="00B82D9F" w:rsidRPr="00D677A8" w:rsidRDefault="00B82D9F" w:rsidP="007343E2">
            <w:pPr>
              <w:pStyle w:val="Compact"/>
              <w:spacing w:line="480" w:lineRule="auto"/>
            </w:pPr>
            <w:r w:rsidRPr="00D677A8">
              <w:t>Female</w:t>
            </w:r>
          </w:p>
        </w:tc>
        <w:tc>
          <w:tcPr>
            <w:tcW w:w="296" w:type="pct"/>
            <w:vAlign w:val="bottom"/>
          </w:tcPr>
          <w:p w14:paraId="0A91AB2A" w14:textId="77777777" w:rsidR="00B82D9F" w:rsidRPr="00D677A8" w:rsidRDefault="00B82D9F" w:rsidP="007343E2">
            <w:pPr>
              <w:pStyle w:val="Compact"/>
              <w:spacing w:line="480" w:lineRule="auto"/>
            </w:pPr>
            <w:r w:rsidRPr="00D677A8">
              <w:t>26</w:t>
            </w:r>
          </w:p>
        </w:tc>
        <w:tc>
          <w:tcPr>
            <w:tcW w:w="858"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7343E2">
            <w:pPr>
              <w:spacing w:line="480" w:lineRule="auto"/>
            </w:pPr>
          </w:p>
        </w:tc>
        <w:tc>
          <w:tcPr>
            <w:tcW w:w="1662"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7343E2">
            <w:pPr>
              <w:spacing w:line="480" w:lineRule="auto"/>
            </w:pPr>
          </w:p>
        </w:tc>
        <w:tc>
          <w:tcPr>
            <w:tcW w:w="590"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296" w:type="pct"/>
            <w:tcBorders>
              <w:bottom w:val="single" w:sz="4" w:space="0" w:color="auto"/>
            </w:tcBorders>
            <w:vAlign w:val="bottom"/>
          </w:tcPr>
          <w:p w14:paraId="22FA0BAC" w14:textId="77777777" w:rsidR="00B82D9F" w:rsidRPr="00D677A8" w:rsidRDefault="00B82D9F" w:rsidP="007343E2">
            <w:pPr>
              <w:pStyle w:val="Compact"/>
              <w:spacing w:line="480" w:lineRule="auto"/>
            </w:pPr>
            <w:r w:rsidRPr="00D677A8">
              <w:t>18</w:t>
            </w:r>
          </w:p>
        </w:tc>
        <w:tc>
          <w:tcPr>
            <w:tcW w:w="858"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7343E2">
            <w:pPr>
              <w:spacing w:line="480" w:lineRule="auto"/>
            </w:pPr>
          </w:p>
        </w:tc>
        <w:tc>
          <w:tcPr>
            <w:tcW w:w="1662"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569641E7"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13FFA43C"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proofErr w:type="spellStart"/>
      <w:r w:rsidRPr="007029E4">
        <w:rPr>
          <w:vertAlign w:val="superscript"/>
        </w:rPr>
        <w:lastRenderedPageBreak/>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the male was removed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7"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7CF25" w14:textId="77777777" w:rsidR="00E40A23" w:rsidRDefault="00E40A23">
      <w:pPr>
        <w:spacing w:after="0"/>
      </w:pPr>
      <w:r>
        <w:separator/>
      </w:r>
    </w:p>
  </w:endnote>
  <w:endnote w:type="continuationSeparator" w:id="0">
    <w:p w14:paraId="1B8695B3" w14:textId="77777777" w:rsidR="00E40A23" w:rsidRDefault="00E40A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5D1C" w14:textId="77777777" w:rsidR="00E40A23" w:rsidRDefault="00E40A23">
      <w:r>
        <w:separator/>
      </w:r>
    </w:p>
  </w:footnote>
  <w:footnote w:type="continuationSeparator" w:id="0">
    <w:p w14:paraId="536655D0" w14:textId="77777777" w:rsidR="00E40A23" w:rsidRDefault="00E40A23">
      <w:r>
        <w:continuationSeparator/>
      </w:r>
    </w:p>
  </w:footnote>
  <w:footnote w:id="1">
    <w:p w14:paraId="766E138A" w14:textId="77777777" w:rsidR="003A2007" w:rsidRDefault="003A2007">
      <w:pPr>
        <w:pStyle w:val="FootnoteText"/>
      </w:pPr>
      <w:r>
        <w:rPr>
          <w:rStyle w:val="FootnoteReference"/>
        </w:rPr>
        <w:footnoteRef/>
      </w:r>
      <w:r>
        <w:t xml:space="preserve"> University of Idaho - Kimberly Research &amp; Extension Center, 3806 N 3600 E, Kimberly, ID, 83341, USA </w:t>
      </w:r>
    </w:p>
    <w:p w14:paraId="11F8B059" w14:textId="4FBF0A03" w:rsidR="003A2007" w:rsidRDefault="003A2007">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3A2007" w:rsidRDefault="003A2007"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3A2007" w:rsidRDefault="003A2007" w:rsidP="00FB04EE">
      <w:pPr>
        <w:pStyle w:val="FootnoteText"/>
      </w:pPr>
      <w:r>
        <w:rPr>
          <w:vertAlign w:val="superscript"/>
        </w:rPr>
        <w:t xml:space="preserve">4 </w:t>
      </w:r>
      <w:r>
        <w:t>University of Idaho, 875 Perimeter Dr., Moscow, ID, 83844, USA</w:t>
      </w:r>
    </w:p>
    <w:p w14:paraId="248AA03F" w14:textId="0A458C25" w:rsidR="003A2007" w:rsidRDefault="003A2007"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3A2007" w:rsidRDefault="003A2007"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3A2007" w:rsidRDefault="003A2007">
      <w:pPr>
        <w:pStyle w:val="FootnoteText"/>
      </w:pPr>
    </w:p>
  </w:footnote>
  <w:footnote w:id="3">
    <w:p w14:paraId="18A60E49" w14:textId="5F565B42" w:rsidR="003A2007" w:rsidRDefault="003A2007"/>
    <w:p w14:paraId="11F8B05B" w14:textId="767AB521" w:rsidR="003A2007" w:rsidRDefault="003A2007">
      <w:pPr>
        <w:pStyle w:val="FootnoteText"/>
      </w:pPr>
    </w:p>
  </w:footnote>
  <w:footnote w:id="4">
    <w:p w14:paraId="62BA8594" w14:textId="77777777" w:rsidR="003A2007" w:rsidRDefault="003A2007" w:rsidP="00E615BD"/>
    <w:p w14:paraId="28A36C63" w14:textId="77777777" w:rsidR="003A2007" w:rsidRDefault="003A2007" w:rsidP="00E615BD">
      <w:pPr>
        <w:pStyle w:val="FootnoteText"/>
      </w:pPr>
    </w:p>
  </w:footnote>
  <w:footnote w:id="5">
    <w:p w14:paraId="357EBDD1" w14:textId="5D65CB46" w:rsidR="003A2007" w:rsidRDefault="003A2007"/>
    <w:p w14:paraId="6B82A8EA" w14:textId="09409657" w:rsidR="003A2007" w:rsidRDefault="003A200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s-419" w:vendorID="64" w:dllVersion="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1050B"/>
    <w:rsid w:val="00010D0E"/>
    <w:rsid w:val="00011C8B"/>
    <w:rsid w:val="00012C8F"/>
    <w:rsid w:val="0001677F"/>
    <w:rsid w:val="00021148"/>
    <w:rsid w:val="0002189E"/>
    <w:rsid w:val="00024A0E"/>
    <w:rsid w:val="0002784D"/>
    <w:rsid w:val="00033CF1"/>
    <w:rsid w:val="00036F70"/>
    <w:rsid w:val="000375BB"/>
    <w:rsid w:val="000379F2"/>
    <w:rsid w:val="000428CA"/>
    <w:rsid w:val="00042EE9"/>
    <w:rsid w:val="00044029"/>
    <w:rsid w:val="000564CE"/>
    <w:rsid w:val="00061AEA"/>
    <w:rsid w:val="00061CE5"/>
    <w:rsid w:val="0006538E"/>
    <w:rsid w:val="00074E0F"/>
    <w:rsid w:val="00080BDB"/>
    <w:rsid w:val="0008209A"/>
    <w:rsid w:val="00091012"/>
    <w:rsid w:val="00096E0D"/>
    <w:rsid w:val="000A2DF8"/>
    <w:rsid w:val="000A4900"/>
    <w:rsid w:val="000B0A57"/>
    <w:rsid w:val="000B321B"/>
    <w:rsid w:val="000B33FD"/>
    <w:rsid w:val="000C4A0F"/>
    <w:rsid w:val="000D77CD"/>
    <w:rsid w:val="000E606D"/>
    <w:rsid w:val="000F4DF1"/>
    <w:rsid w:val="00104B17"/>
    <w:rsid w:val="00106990"/>
    <w:rsid w:val="0010781F"/>
    <w:rsid w:val="00113FD9"/>
    <w:rsid w:val="00114B57"/>
    <w:rsid w:val="00114F64"/>
    <w:rsid w:val="00116522"/>
    <w:rsid w:val="00120465"/>
    <w:rsid w:val="00130F56"/>
    <w:rsid w:val="00133F58"/>
    <w:rsid w:val="00140CA3"/>
    <w:rsid w:val="00146AAE"/>
    <w:rsid w:val="00150DD0"/>
    <w:rsid w:val="001548CF"/>
    <w:rsid w:val="00164B8F"/>
    <w:rsid w:val="001666C6"/>
    <w:rsid w:val="00170776"/>
    <w:rsid w:val="00171D89"/>
    <w:rsid w:val="00174E69"/>
    <w:rsid w:val="00180B91"/>
    <w:rsid w:val="00182CCB"/>
    <w:rsid w:val="00183683"/>
    <w:rsid w:val="001947A9"/>
    <w:rsid w:val="001A0BFE"/>
    <w:rsid w:val="001B5DB0"/>
    <w:rsid w:val="001B64DA"/>
    <w:rsid w:val="001B7D24"/>
    <w:rsid w:val="001C3EE4"/>
    <w:rsid w:val="001D53AF"/>
    <w:rsid w:val="001E683B"/>
    <w:rsid w:val="001F333E"/>
    <w:rsid w:val="001F5BE4"/>
    <w:rsid w:val="002017F6"/>
    <w:rsid w:val="00202919"/>
    <w:rsid w:val="00206206"/>
    <w:rsid w:val="00207980"/>
    <w:rsid w:val="00211144"/>
    <w:rsid w:val="00215ED9"/>
    <w:rsid w:val="00217981"/>
    <w:rsid w:val="00222067"/>
    <w:rsid w:val="002431E3"/>
    <w:rsid w:val="00243EC9"/>
    <w:rsid w:val="00253A2C"/>
    <w:rsid w:val="00255431"/>
    <w:rsid w:val="00270DD3"/>
    <w:rsid w:val="00273667"/>
    <w:rsid w:val="00282910"/>
    <w:rsid w:val="00283558"/>
    <w:rsid w:val="002A40D3"/>
    <w:rsid w:val="002A5DED"/>
    <w:rsid w:val="002A72D6"/>
    <w:rsid w:val="002B52F1"/>
    <w:rsid w:val="002B54AA"/>
    <w:rsid w:val="002B5FE0"/>
    <w:rsid w:val="002B68D2"/>
    <w:rsid w:val="002B6A9E"/>
    <w:rsid w:val="002B7612"/>
    <w:rsid w:val="002C4E77"/>
    <w:rsid w:val="002C64D8"/>
    <w:rsid w:val="002D4D9F"/>
    <w:rsid w:val="002E103A"/>
    <w:rsid w:val="002F4AB7"/>
    <w:rsid w:val="00300E05"/>
    <w:rsid w:val="0030284F"/>
    <w:rsid w:val="0030471A"/>
    <w:rsid w:val="003074F5"/>
    <w:rsid w:val="003145F8"/>
    <w:rsid w:val="00316308"/>
    <w:rsid w:val="003209B7"/>
    <w:rsid w:val="00330431"/>
    <w:rsid w:val="003347CD"/>
    <w:rsid w:val="00336524"/>
    <w:rsid w:val="00336CEB"/>
    <w:rsid w:val="003404E9"/>
    <w:rsid w:val="0034194E"/>
    <w:rsid w:val="00342DD0"/>
    <w:rsid w:val="003470C0"/>
    <w:rsid w:val="00352BC2"/>
    <w:rsid w:val="00354B65"/>
    <w:rsid w:val="00356CBA"/>
    <w:rsid w:val="00362178"/>
    <w:rsid w:val="00365782"/>
    <w:rsid w:val="00365788"/>
    <w:rsid w:val="00380087"/>
    <w:rsid w:val="0038076B"/>
    <w:rsid w:val="00392C69"/>
    <w:rsid w:val="003A2007"/>
    <w:rsid w:val="003A3E0C"/>
    <w:rsid w:val="003A40EA"/>
    <w:rsid w:val="003A4287"/>
    <w:rsid w:val="003A54C8"/>
    <w:rsid w:val="003A723B"/>
    <w:rsid w:val="003A7D57"/>
    <w:rsid w:val="003B310E"/>
    <w:rsid w:val="003B46AF"/>
    <w:rsid w:val="003B6626"/>
    <w:rsid w:val="003B7D56"/>
    <w:rsid w:val="003C5DB5"/>
    <w:rsid w:val="003C66BF"/>
    <w:rsid w:val="003D030A"/>
    <w:rsid w:val="003D05E4"/>
    <w:rsid w:val="003D0E07"/>
    <w:rsid w:val="003D299E"/>
    <w:rsid w:val="003D47FE"/>
    <w:rsid w:val="003D6540"/>
    <w:rsid w:val="003D77A7"/>
    <w:rsid w:val="003E52FA"/>
    <w:rsid w:val="003F163F"/>
    <w:rsid w:val="003F4927"/>
    <w:rsid w:val="003F757E"/>
    <w:rsid w:val="00400311"/>
    <w:rsid w:val="00402965"/>
    <w:rsid w:val="004128C4"/>
    <w:rsid w:val="00415821"/>
    <w:rsid w:val="00417EC9"/>
    <w:rsid w:val="004250C0"/>
    <w:rsid w:val="004268B3"/>
    <w:rsid w:val="004313E3"/>
    <w:rsid w:val="0043151E"/>
    <w:rsid w:val="0043244D"/>
    <w:rsid w:val="004325C6"/>
    <w:rsid w:val="004344EB"/>
    <w:rsid w:val="00435C96"/>
    <w:rsid w:val="00452D5D"/>
    <w:rsid w:val="00465F98"/>
    <w:rsid w:val="004758D4"/>
    <w:rsid w:val="00481119"/>
    <w:rsid w:val="004813C6"/>
    <w:rsid w:val="00484105"/>
    <w:rsid w:val="00487C8C"/>
    <w:rsid w:val="00492D43"/>
    <w:rsid w:val="00496938"/>
    <w:rsid w:val="004A12A7"/>
    <w:rsid w:val="004B200F"/>
    <w:rsid w:val="004B23F0"/>
    <w:rsid w:val="004B4679"/>
    <w:rsid w:val="004B689B"/>
    <w:rsid w:val="004C0E6D"/>
    <w:rsid w:val="004C56C9"/>
    <w:rsid w:val="004D1617"/>
    <w:rsid w:val="004D4604"/>
    <w:rsid w:val="004E29B3"/>
    <w:rsid w:val="004E7A80"/>
    <w:rsid w:val="004F09DA"/>
    <w:rsid w:val="004F106F"/>
    <w:rsid w:val="004F4E2E"/>
    <w:rsid w:val="004F513B"/>
    <w:rsid w:val="004F793C"/>
    <w:rsid w:val="005126E2"/>
    <w:rsid w:val="00522F49"/>
    <w:rsid w:val="00525195"/>
    <w:rsid w:val="00525352"/>
    <w:rsid w:val="00526D8C"/>
    <w:rsid w:val="00531D85"/>
    <w:rsid w:val="00532EFF"/>
    <w:rsid w:val="0053754F"/>
    <w:rsid w:val="00541CB9"/>
    <w:rsid w:val="00556154"/>
    <w:rsid w:val="005612B5"/>
    <w:rsid w:val="00561D91"/>
    <w:rsid w:val="005677B0"/>
    <w:rsid w:val="00570987"/>
    <w:rsid w:val="00575944"/>
    <w:rsid w:val="00576C4C"/>
    <w:rsid w:val="00584266"/>
    <w:rsid w:val="00590D07"/>
    <w:rsid w:val="00595478"/>
    <w:rsid w:val="005A000B"/>
    <w:rsid w:val="005A137F"/>
    <w:rsid w:val="005A4BB6"/>
    <w:rsid w:val="005A598E"/>
    <w:rsid w:val="005A5AC3"/>
    <w:rsid w:val="005B2F8C"/>
    <w:rsid w:val="005B4799"/>
    <w:rsid w:val="005D1EF4"/>
    <w:rsid w:val="005D2831"/>
    <w:rsid w:val="005D4440"/>
    <w:rsid w:val="005D564A"/>
    <w:rsid w:val="005E7C55"/>
    <w:rsid w:val="005E7E19"/>
    <w:rsid w:val="005F0783"/>
    <w:rsid w:val="005F4B7C"/>
    <w:rsid w:val="005F6E86"/>
    <w:rsid w:val="00601A3D"/>
    <w:rsid w:val="00606209"/>
    <w:rsid w:val="006118C7"/>
    <w:rsid w:val="00614346"/>
    <w:rsid w:val="006160B8"/>
    <w:rsid w:val="00617B76"/>
    <w:rsid w:val="00625D79"/>
    <w:rsid w:val="00627039"/>
    <w:rsid w:val="0063123B"/>
    <w:rsid w:val="006360F6"/>
    <w:rsid w:val="00641459"/>
    <w:rsid w:val="0064201A"/>
    <w:rsid w:val="00643A47"/>
    <w:rsid w:val="006453C9"/>
    <w:rsid w:val="00650A4B"/>
    <w:rsid w:val="00654816"/>
    <w:rsid w:val="00660D99"/>
    <w:rsid w:val="00663AAF"/>
    <w:rsid w:val="006716F1"/>
    <w:rsid w:val="006723AD"/>
    <w:rsid w:val="00684C21"/>
    <w:rsid w:val="00684F30"/>
    <w:rsid w:val="0068530D"/>
    <w:rsid w:val="0068673F"/>
    <w:rsid w:val="00686AD0"/>
    <w:rsid w:val="00691925"/>
    <w:rsid w:val="00693A25"/>
    <w:rsid w:val="00694549"/>
    <w:rsid w:val="00695EA4"/>
    <w:rsid w:val="006A0EDF"/>
    <w:rsid w:val="006A52AF"/>
    <w:rsid w:val="006A5F54"/>
    <w:rsid w:val="006C103F"/>
    <w:rsid w:val="006C33B9"/>
    <w:rsid w:val="006D1E88"/>
    <w:rsid w:val="006E0B7A"/>
    <w:rsid w:val="006E0F8D"/>
    <w:rsid w:val="006E12CD"/>
    <w:rsid w:val="006E3314"/>
    <w:rsid w:val="006E521E"/>
    <w:rsid w:val="006F183A"/>
    <w:rsid w:val="006F578E"/>
    <w:rsid w:val="007029E4"/>
    <w:rsid w:val="00706EB7"/>
    <w:rsid w:val="00713B4D"/>
    <w:rsid w:val="007202FE"/>
    <w:rsid w:val="00721FAF"/>
    <w:rsid w:val="00727103"/>
    <w:rsid w:val="007343E2"/>
    <w:rsid w:val="007364D6"/>
    <w:rsid w:val="00741A85"/>
    <w:rsid w:val="007453F0"/>
    <w:rsid w:val="00746D38"/>
    <w:rsid w:val="007600AC"/>
    <w:rsid w:val="0076287C"/>
    <w:rsid w:val="00767981"/>
    <w:rsid w:val="00770883"/>
    <w:rsid w:val="007720F5"/>
    <w:rsid w:val="00775AC5"/>
    <w:rsid w:val="007802E9"/>
    <w:rsid w:val="007803C7"/>
    <w:rsid w:val="0078450F"/>
    <w:rsid w:val="00784D58"/>
    <w:rsid w:val="00784FE6"/>
    <w:rsid w:val="007861F7"/>
    <w:rsid w:val="0078739C"/>
    <w:rsid w:val="00791F69"/>
    <w:rsid w:val="007A0A78"/>
    <w:rsid w:val="007A1CE2"/>
    <w:rsid w:val="007B64CF"/>
    <w:rsid w:val="007B6F2A"/>
    <w:rsid w:val="007C394A"/>
    <w:rsid w:val="007C4FA0"/>
    <w:rsid w:val="007D013A"/>
    <w:rsid w:val="007D5A13"/>
    <w:rsid w:val="007E3302"/>
    <w:rsid w:val="007F4BCB"/>
    <w:rsid w:val="007F730B"/>
    <w:rsid w:val="00803A00"/>
    <w:rsid w:val="00803E8A"/>
    <w:rsid w:val="0081060E"/>
    <w:rsid w:val="00810C04"/>
    <w:rsid w:val="0081106D"/>
    <w:rsid w:val="00813D39"/>
    <w:rsid w:val="00822DFF"/>
    <w:rsid w:val="00826D64"/>
    <w:rsid w:val="00827E4C"/>
    <w:rsid w:val="00827FDD"/>
    <w:rsid w:val="00831AF5"/>
    <w:rsid w:val="00834D2A"/>
    <w:rsid w:val="0083708E"/>
    <w:rsid w:val="008371D3"/>
    <w:rsid w:val="00844677"/>
    <w:rsid w:val="008454B0"/>
    <w:rsid w:val="00852869"/>
    <w:rsid w:val="00864577"/>
    <w:rsid w:val="00866C17"/>
    <w:rsid w:val="008951CF"/>
    <w:rsid w:val="008A31F4"/>
    <w:rsid w:val="008A4484"/>
    <w:rsid w:val="008A5112"/>
    <w:rsid w:val="008B6365"/>
    <w:rsid w:val="008D1998"/>
    <w:rsid w:val="008D4911"/>
    <w:rsid w:val="008D629E"/>
    <w:rsid w:val="008D6863"/>
    <w:rsid w:val="008E18E9"/>
    <w:rsid w:val="008E36B0"/>
    <w:rsid w:val="008F0340"/>
    <w:rsid w:val="008F32DE"/>
    <w:rsid w:val="008F425E"/>
    <w:rsid w:val="008F5F42"/>
    <w:rsid w:val="008F7CE6"/>
    <w:rsid w:val="00904B06"/>
    <w:rsid w:val="00911B28"/>
    <w:rsid w:val="00913EFC"/>
    <w:rsid w:val="00920A32"/>
    <w:rsid w:val="00924068"/>
    <w:rsid w:val="009360CB"/>
    <w:rsid w:val="00950E30"/>
    <w:rsid w:val="00961D44"/>
    <w:rsid w:val="00965967"/>
    <w:rsid w:val="00976237"/>
    <w:rsid w:val="00985541"/>
    <w:rsid w:val="00994AAB"/>
    <w:rsid w:val="009971DF"/>
    <w:rsid w:val="00997A62"/>
    <w:rsid w:val="009A0F76"/>
    <w:rsid w:val="009A5DAA"/>
    <w:rsid w:val="009A5F1A"/>
    <w:rsid w:val="009A7129"/>
    <w:rsid w:val="009B6F5F"/>
    <w:rsid w:val="009C2434"/>
    <w:rsid w:val="009C5D9F"/>
    <w:rsid w:val="009C6677"/>
    <w:rsid w:val="009D1135"/>
    <w:rsid w:val="009D15EB"/>
    <w:rsid w:val="009D1F7B"/>
    <w:rsid w:val="009D7E66"/>
    <w:rsid w:val="009E1589"/>
    <w:rsid w:val="009E18BA"/>
    <w:rsid w:val="009E3C0F"/>
    <w:rsid w:val="009E5670"/>
    <w:rsid w:val="009E6739"/>
    <w:rsid w:val="009E7BFA"/>
    <w:rsid w:val="009F1389"/>
    <w:rsid w:val="009F261B"/>
    <w:rsid w:val="009F37A1"/>
    <w:rsid w:val="00A00E43"/>
    <w:rsid w:val="00A22D7E"/>
    <w:rsid w:val="00A23AD0"/>
    <w:rsid w:val="00A27B18"/>
    <w:rsid w:val="00A3078B"/>
    <w:rsid w:val="00A31E2B"/>
    <w:rsid w:val="00A32F7F"/>
    <w:rsid w:val="00A3526B"/>
    <w:rsid w:val="00A352EE"/>
    <w:rsid w:val="00A36BBE"/>
    <w:rsid w:val="00A376FD"/>
    <w:rsid w:val="00A436F3"/>
    <w:rsid w:val="00A45577"/>
    <w:rsid w:val="00A5135C"/>
    <w:rsid w:val="00A54FCA"/>
    <w:rsid w:val="00A650FA"/>
    <w:rsid w:val="00A760E7"/>
    <w:rsid w:val="00A9263A"/>
    <w:rsid w:val="00A95802"/>
    <w:rsid w:val="00AA2CF8"/>
    <w:rsid w:val="00AB2A6B"/>
    <w:rsid w:val="00AB2F5B"/>
    <w:rsid w:val="00AB5682"/>
    <w:rsid w:val="00AB7355"/>
    <w:rsid w:val="00AB7E94"/>
    <w:rsid w:val="00AC0148"/>
    <w:rsid w:val="00AD0B32"/>
    <w:rsid w:val="00AE083C"/>
    <w:rsid w:val="00B02837"/>
    <w:rsid w:val="00B03680"/>
    <w:rsid w:val="00B06CB4"/>
    <w:rsid w:val="00B07847"/>
    <w:rsid w:val="00B15BE2"/>
    <w:rsid w:val="00B26F2D"/>
    <w:rsid w:val="00B31749"/>
    <w:rsid w:val="00B37B60"/>
    <w:rsid w:val="00B40E35"/>
    <w:rsid w:val="00B56C64"/>
    <w:rsid w:val="00B668F7"/>
    <w:rsid w:val="00B80AFA"/>
    <w:rsid w:val="00B82D9F"/>
    <w:rsid w:val="00B865D1"/>
    <w:rsid w:val="00B86B75"/>
    <w:rsid w:val="00B87747"/>
    <w:rsid w:val="00B95F4D"/>
    <w:rsid w:val="00B95FAE"/>
    <w:rsid w:val="00B9791C"/>
    <w:rsid w:val="00BA07C4"/>
    <w:rsid w:val="00BA4BB5"/>
    <w:rsid w:val="00BB2E7E"/>
    <w:rsid w:val="00BB395C"/>
    <w:rsid w:val="00BC1975"/>
    <w:rsid w:val="00BC48D5"/>
    <w:rsid w:val="00BD6771"/>
    <w:rsid w:val="00BE4268"/>
    <w:rsid w:val="00BE566B"/>
    <w:rsid w:val="00BE58A3"/>
    <w:rsid w:val="00BE6417"/>
    <w:rsid w:val="00C0292E"/>
    <w:rsid w:val="00C10FCE"/>
    <w:rsid w:val="00C1222D"/>
    <w:rsid w:val="00C1238D"/>
    <w:rsid w:val="00C170FB"/>
    <w:rsid w:val="00C215D5"/>
    <w:rsid w:val="00C23582"/>
    <w:rsid w:val="00C263BE"/>
    <w:rsid w:val="00C27CD2"/>
    <w:rsid w:val="00C36279"/>
    <w:rsid w:val="00C472AC"/>
    <w:rsid w:val="00C51B3C"/>
    <w:rsid w:val="00C54CF6"/>
    <w:rsid w:val="00C554BB"/>
    <w:rsid w:val="00C55875"/>
    <w:rsid w:val="00C61FDE"/>
    <w:rsid w:val="00C67589"/>
    <w:rsid w:val="00C71AC2"/>
    <w:rsid w:val="00C75D6D"/>
    <w:rsid w:val="00C82044"/>
    <w:rsid w:val="00C83C0F"/>
    <w:rsid w:val="00C9686C"/>
    <w:rsid w:val="00CA2174"/>
    <w:rsid w:val="00CA44C2"/>
    <w:rsid w:val="00CA51E2"/>
    <w:rsid w:val="00CC0FD2"/>
    <w:rsid w:val="00CC5607"/>
    <w:rsid w:val="00CD23F5"/>
    <w:rsid w:val="00CE0056"/>
    <w:rsid w:val="00CE05ED"/>
    <w:rsid w:val="00CF1B5C"/>
    <w:rsid w:val="00CF3361"/>
    <w:rsid w:val="00CF4BB3"/>
    <w:rsid w:val="00CF4FA9"/>
    <w:rsid w:val="00CF506F"/>
    <w:rsid w:val="00CF63CD"/>
    <w:rsid w:val="00CF7AFC"/>
    <w:rsid w:val="00D052CB"/>
    <w:rsid w:val="00D05AD5"/>
    <w:rsid w:val="00D05C0D"/>
    <w:rsid w:val="00D06BDB"/>
    <w:rsid w:val="00D102A9"/>
    <w:rsid w:val="00D160D1"/>
    <w:rsid w:val="00D17A68"/>
    <w:rsid w:val="00D2092A"/>
    <w:rsid w:val="00D24EB6"/>
    <w:rsid w:val="00D2725D"/>
    <w:rsid w:val="00D465CA"/>
    <w:rsid w:val="00D52310"/>
    <w:rsid w:val="00D55BB1"/>
    <w:rsid w:val="00D62E2F"/>
    <w:rsid w:val="00D677A8"/>
    <w:rsid w:val="00D70FC3"/>
    <w:rsid w:val="00D72D6A"/>
    <w:rsid w:val="00D757F3"/>
    <w:rsid w:val="00D76642"/>
    <w:rsid w:val="00D87309"/>
    <w:rsid w:val="00D903DC"/>
    <w:rsid w:val="00D91AD3"/>
    <w:rsid w:val="00D96FBB"/>
    <w:rsid w:val="00D97497"/>
    <w:rsid w:val="00DA14FC"/>
    <w:rsid w:val="00DA2DCB"/>
    <w:rsid w:val="00DA301B"/>
    <w:rsid w:val="00DA619D"/>
    <w:rsid w:val="00DB1F6E"/>
    <w:rsid w:val="00DB2FDD"/>
    <w:rsid w:val="00DB4892"/>
    <w:rsid w:val="00DB4F44"/>
    <w:rsid w:val="00DB68A5"/>
    <w:rsid w:val="00DC0AE4"/>
    <w:rsid w:val="00DC61DF"/>
    <w:rsid w:val="00DC7AA7"/>
    <w:rsid w:val="00DD0CEB"/>
    <w:rsid w:val="00DD3D2E"/>
    <w:rsid w:val="00DD40C7"/>
    <w:rsid w:val="00DE2E7E"/>
    <w:rsid w:val="00DE33A2"/>
    <w:rsid w:val="00DE60A9"/>
    <w:rsid w:val="00DF1889"/>
    <w:rsid w:val="00DF7E55"/>
    <w:rsid w:val="00E14244"/>
    <w:rsid w:val="00E171FF"/>
    <w:rsid w:val="00E26281"/>
    <w:rsid w:val="00E315A3"/>
    <w:rsid w:val="00E3361B"/>
    <w:rsid w:val="00E40A23"/>
    <w:rsid w:val="00E41F5F"/>
    <w:rsid w:val="00E424EA"/>
    <w:rsid w:val="00E43FAD"/>
    <w:rsid w:val="00E53852"/>
    <w:rsid w:val="00E56EBF"/>
    <w:rsid w:val="00E60158"/>
    <w:rsid w:val="00E60D50"/>
    <w:rsid w:val="00E615BD"/>
    <w:rsid w:val="00E657DA"/>
    <w:rsid w:val="00E65AEB"/>
    <w:rsid w:val="00E65BC7"/>
    <w:rsid w:val="00E67361"/>
    <w:rsid w:val="00E71574"/>
    <w:rsid w:val="00E75646"/>
    <w:rsid w:val="00E76173"/>
    <w:rsid w:val="00E769E3"/>
    <w:rsid w:val="00E8722C"/>
    <w:rsid w:val="00E9036D"/>
    <w:rsid w:val="00E9792A"/>
    <w:rsid w:val="00EA07F2"/>
    <w:rsid w:val="00EA2A4D"/>
    <w:rsid w:val="00EA4DE0"/>
    <w:rsid w:val="00EA6C73"/>
    <w:rsid w:val="00EB507D"/>
    <w:rsid w:val="00EB7581"/>
    <w:rsid w:val="00EC25AE"/>
    <w:rsid w:val="00EC32BE"/>
    <w:rsid w:val="00EC3BE1"/>
    <w:rsid w:val="00EC5A95"/>
    <w:rsid w:val="00ED223A"/>
    <w:rsid w:val="00ED2870"/>
    <w:rsid w:val="00ED6E24"/>
    <w:rsid w:val="00EE0C3B"/>
    <w:rsid w:val="00EE6FF7"/>
    <w:rsid w:val="00EF41F1"/>
    <w:rsid w:val="00F01479"/>
    <w:rsid w:val="00F07408"/>
    <w:rsid w:val="00F1244B"/>
    <w:rsid w:val="00F133BD"/>
    <w:rsid w:val="00F26C87"/>
    <w:rsid w:val="00F26CBA"/>
    <w:rsid w:val="00F3146A"/>
    <w:rsid w:val="00F3257C"/>
    <w:rsid w:val="00F3486A"/>
    <w:rsid w:val="00F50827"/>
    <w:rsid w:val="00F50F56"/>
    <w:rsid w:val="00F53181"/>
    <w:rsid w:val="00F60957"/>
    <w:rsid w:val="00F619AF"/>
    <w:rsid w:val="00F6531F"/>
    <w:rsid w:val="00F7088F"/>
    <w:rsid w:val="00F72B2B"/>
    <w:rsid w:val="00F72B8F"/>
    <w:rsid w:val="00F7796B"/>
    <w:rsid w:val="00F83942"/>
    <w:rsid w:val="00F841A0"/>
    <w:rsid w:val="00F87CBD"/>
    <w:rsid w:val="00F91735"/>
    <w:rsid w:val="00F924C8"/>
    <w:rsid w:val="00F93EDA"/>
    <w:rsid w:val="00F943B0"/>
    <w:rsid w:val="00FA49DF"/>
    <w:rsid w:val="00FA6E0C"/>
    <w:rsid w:val="00FB04EE"/>
    <w:rsid w:val="00FB2D78"/>
    <w:rsid w:val="00FB674B"/>
    <w:rsid w:val="00FC1576"/>
    <w:rsid w:val="00FC7228"/>
    <w:rsid w:val="00FD16F8"/>
    <w:rsid w:val="00FD1F87"/>
    <w:rsid w:val="00FD39AD"/>
    <w:rsid w:val="00FE63DF"/>
    <w:rsid w:val="00FF015C"/>
    <w:rsid w:val="00FF4BE2"/>
    <w:rsid w:val="00FF5978"/>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9194</Words>
  <Characters>52406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2019-10-29T20:28:00Z</dcterms:created>
  <dcterms:modified xsi:type="dcterms:W3CDTF">2019-10-30T15:32:00Z</dcterms:modified>
</cp:coreProperties>
</file>