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3370" w14:textId="6230FF5D" w:rsidR="006D40A9" w:rsidRPr="005B500C" w:rsidRDefault="00C9715A" w:rsidP="006D40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Task 5 </w:t>
      </w:r>
      <w:r w:rsidR="006D40A9" w:rsidRPr="005B500C">
        <w:rPr>
          <w:b/>
          <w:bCs/>
          <w:sz w:val="24"/>
          <w:szCs w:val="24"/>
          <w:u w:val="single"/>
        </w:rPr>
        <w:t>Reading Guide</w:t>
      </w:r>
    </w:p>
    <w:p w14:paraId="0E5A539F" w14:textId="77777777" w:rsidR="00ED4696" w:rsidRPr="00ED4696" w:rsidRDefault="00ED4696">
      <w:pPr>
        <w:rPr>
          <w:b/>
          <w:bCs/>
          <w:sz w:val="16"/>
          <w:szCs w:val="16"/>
        </w:rPr>
      </w:pPr>
    </w:p>
    <w:p w14:paraId="5F0FC59B" w14:textId="2C478211" w:rsidR="007C7AD6" w:rsidRDefault="00853D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Expected Return </w:t>
      </w:r>
    </w:p>
    <w:p w14:paraId="6ACFB0CC" w14:textId="77777777" w:rsidR="007C7AD6" w:rsidRPr="00C9715A" w:rsidRDefault="007C7AD6" w:rsidP="007C7AD6">
      <w:pPr>
        <w:pStyle w:val="ListParagraph"/>
        <w:numPr>
          <w:ilvl w:val="0"/>
          <w:numId w:val="2"/>
        </w:numPr>
        <w:spacing w:before="80" w:after="120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The return between two periods is typically calculated using a standard percentage change formula:</w:t>
      </w:r>
    </w:p>
    <w:p w14:paraId="3CBE84F0" w14:textId="3E5DE34F" w:rsidR="007C7AD6" w:rsidRDefault="007C7AD6" w:rsidP="007C7AD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% Return (Period 1) = (Price</w:t>
      </w:r>
      <w:r w:rsidR="00567931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/ Price</w:t>
      </w:r>
      <w:r w:rsidR="00567931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) – 1 </w:t>
      </w:r>
    </w:p>
    <w:p w14:paraId="49CCC46E" w14:textId="70F1B789" w:rsidR="005F4DF6" w:rsidRDefault="005F4DF6" w:rsidP="005F4DF6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 w:rsidRPr="00ED4696">
        <w:rPr>
          <w:sz w:val="18"/>
          <w:szCs w:val="18"/>
        </w:rPr>
        <w:t xml:space="preserve">In </w:t>
      </w:r>
      <w:r>
        <w:rPr>
          <w:sz w:val="18"/>
          <w:szCs w:val="18"/>
        </w:rPr>
        <w:t xml:space="preserve">the first part of this </w:t>
      </w:r>
      <w:r w:rsidRPr="00ED4696">
        <w:rPr>
          <w:sz w:val="18"/>
          <w:szCs w:val="18"/>
        </w:rPr>
        <w:t xml:space="preserve">task, </w:t>
      </w:r>
      <w:r>
        <w:rPr>
          <w:sz w:val="18"/>
          <w:szCs w:val="18"/>
        </w:rPr>
        <w:t xml:space="preserve">you will </w:t>
      </w:r>
      <w:r w:rsidRPr="00ED4696">
        <w:rPr>
          <w:sz w:val="18"/>
          <w:szCs w:val="18"/>
        </w:rPr>
        <w:t xml:space="preserve">calculate the Expected Return for </w:t>
      </w:r>
      <w:r>
        <w:rPr>
          <w:sz w:val="18"/>
          <w:szCs w:val="18"/>
        </w:rPr>
        <w:t>e</w:t>
      </w:r>
      <w:r w:rsidRPr="00ED4696">
        <w:rPr>
          <w:sz w:val="18"/>
          <w:szCs w:val="18"/>
        </w:rPr>
        <w:t xml:space="preserve">ach </w:t>
      </w:r>
      <w:r>
        <w:rPr>
          <w:sz w:val="18"/>
          <w:szCs w:val="18"/>
        </w:rPr>
        <w:t>f</w:t>
      </w:r>
      <w:r w:rsidRPr="00ED4696">
        <w:rPr>
          <w:sz w:val="18"/>
          <w:szCs w:val="18"/>
        </w:rPr>
        <w:t>und</w:t>
      </w:r>
      <w:r>
        <w:rPr>
          <w:sz w:val="18"/>
          <w:szCs w:val="18"/>
        </w:rPr>
        <w:t xml:space="preserve"> using an average (mean) formula.</w:t>
      </w:r>
    </w:p>
    <w:p w14:paraId="73FEAFBE" w14:textId="1D24D946" w:rsidR="007C7AD6" w:rsidRPr="005F4DF6" w:rsidRDefault="007C7AD6" w:rsidP="005F4DF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 w:rsidRPr="005F4DF6">
        <w:rPr>
          <w:sz w:val="18"/>
          <w:szCs w:val="18"/>
        </w:rPr>
        <w:t xml:space="preserve">Under </w:t>
      </w:r>
      <w:r w:rsidR="005F4DF6" w:rsidRPr="005F4DF6">
        <w:rPr>
          <w:sz w:val="18"/>
          <w:szCs w:val="18"/>
        </w:rPr>
        <w:t xml:space="preserve">this </w:t>
      </w:r>
      <w:r w:rsidRPr="005F4DF6">
        <w:rPr>
          <w:sz w:val="18"/>
          <w:szCs w:val="18"/>
        </w:rPr>
        <w:t xml:space="preserve">method, expected returns are </w:t>
      </w:r>
      <w:r w:rsidR="005F4DF6">
        <w:rPr>
          <w:sz w:val="18"/>
          <w:szCs w:val="18"/>
        </w:rPr>
        <w:t xml:space="preserve">informed by the </w:t>
      </w:r>
      <w:r w:rsidRPr="005F4DF6">
        <w:rPr>
          <w:sz w:val="18"/>
          <w:szCs w:val="18"/>
        </w:rPr>
        <w:t xml:space="preserve">historical returns profile for simplicity. </w:t>
      </w:r>
    </w:p>
    <w:p w14:paraId="0CA913F2" w14:textId="77777777" w:rsidR="007C7AD6" w:rsidRDefault="007C7AD6" w:rsidP="007C7AD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 w:rsidRPr="00ED4696">
        <w:rPr>
          <w:sz w:val="18"/>
          <w:szCs w:val="18"/>
        </w:rPr>
        <w:t xml:space="preserve">For instance, if Fund A generated returns of 5% in 2018, 10% in 2019 and 15% in 2020, the expected return for 2021 would be </w:t>
      </w:r>
      <w:proofErr w:type="gramStart"/>
      <w:r w:rsidRPr="00ED4696">
        <w:rPr>
          <w:sz w:val="18"/>
          <w:szCs w:val="18"/>
        </w:rPr>
        <w:t>AVERAGE(</w:t>
      </w:r>
      <w:proofErr w:type="gramEnd"/>
      <w:r w:rsidRPr="00ED4696">
        <w:rPr>
          <w:sz w:val="18"/>
          <w:szCs w:val="18"/>
        </w:rPr>
        <w:t xml:space="preserve">5%, 10%, 15%) = 10%. </w:t>
      </w:r>
    </w:p>
    <w:p w14:paraId="6077EB9B" w14:textId="4FF9424B" w:rsidR="005F4DF6" w:rsidRDefault="005F4DF6" w:rsidP="00853DB4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In the second part of this task, you will also calculate the Expected Return for the Portfolio.</w:t>
      </w:r>
    </w:p>
    <w:p w14:paraId="2D66B297" w14:textId="5BE9CC75" w:rsidR="00853DB4" w:rsidRPr="005F4DF6" w:rsidRDefault="005F4DF6" w:rsidP="005F4DF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This </w:t>
      </w:r>
      <w:r w:rsidR="00853DB4" w:rsidRPr="005F4DF6">
        <w:rPr>
          <w:sz w:val="18"/>
          <w:szCs w:val="18"/>
        </w:rPr>
        <w:t>can then be calculated by using the weightings of each fund and the average returns of each fund:</w:t>
      </w:r>
    </w:p>
    <w:p w14:paraId="57DE2764" w14:textId="77777777" w:rsidR="00853DB4" w:rsidRDefault="00853DB4" w:rsidP="005F4DF6">
      <w:pPr>
        <w:pStyle w:val="ListParagraph"/>
        <w:numPr>
          <w:ilvl w:val="2"/>
          <w:numId w:val="2"/>
        </w:numPr>
        <w:spacing w:before="80" w:after="120" w:line="288" w:lineRule="auto"/>
        <w:rPr>
          <w:sz w:val="18"/>
          <w:szCs w:val="18"/>
        </w:rPr>
      </w:pPr>
      <w:r w:rsidRPr="00ED4696">
        <w:rPr>
          <w:sz w:val="18"/>
          <w:szCs w:val="18"/>
        </w:rPr>
        <w:t>Portfolio Return = Return1 x Weight1 + Return2 x Weight2 + ……. + Return</w:t>
      </w:r>
      <w:r>
        <w:rPr>
          <w:sz w:val="18"/>
          <w:szCs w:val="18"/>
        </w:rPr>
        <w:t>8</w:t>
      </w:r>
      <w:r w:rsidRPr="00ED4696">
        <w:rPr>
          <w:sz w:val="18"/>
          <w:szCs w:val="18"/>
        </w:rPr>
        <w:t xml:space="preserve"> x Weight</w:t>
      </w:r>
      <w:r>
        <w:rPr>
          <w:sz w:val="18"/>
          <w:szCs w:val="18"/>
        </w:rPr>
        <w:t>8</w:t>
      </w:r>
    </w:p>
    <w:p w14:paraId="009A0DAF" w14:textId="77777777" w:rsidR="00853DB4" w:rsidRDefault="00853DB4" w:rsidP="00853DB4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Alternatively, you can use the SUMPRODUCT formula:</w:t>
      </w:r>
    </w:p>
    <w:p w14:paraId="4B9BA71C" w14:textId="1977A204" w:rsidR="00853DB4" w:rsidRPr="00853DB4" w:rsidRDefault="00853DB4" w:rsidP="00853DB4">
      <w:pPr>
        <w:pStyle w:val="ListParagraph"/>
        <w:numPr>
          <w:ilvl w:val="2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Portfolio Return = </w:t>
      </w:r>
      <w:proofErr w:type="gramStart"/>
      <w:r>
        <w:rPr>
          <w:sz w:val="18"/>
          <w:szCs w:val="18"/>
        </w:rPr>
        <w:t>SUMPRODUCT(</w:t>
      </w:r>
      <w:proofErr w:type="gramEnd"/>
      <w:r>
        <w:rPr>
          <w:sz w:val="18"/>
          <w:szCs w:val="18"/>
        </w:rPr>
        <w:t>Row of Mean Returns, Row of % Allocation in Portfolio</w:t>
      </w:r>
      <w:r w:rsidR="00BA31A4">
        <w:rPr>
          <w:sz w:val="18"/>
          <w:szCs w:val="18"/>
        </w:rPr>
        <w:t>)</w:t>
      </w:r>
    </w:p>
    <w:p w14:paraId="01CAB504" w14:textId="05D474C3" w:rsidR="007C7AD6" w:rsidRDefault="007C7AD6">
      <w:pPr>
        <w:rPr>
          <w:b/>
          <w:bCs/>
          <w:sz w:val="24"/>
          <w:szCs w:val="24"/>
        </w:rPr>
      </w:pPr>
    </w:p>
    <w:p w14:paraId="4D0B398B" w14:textId="77777777" w:rsidR="00F12576" w:rsidRPr="005B500C" w:rsidRDefault="00F12576" w:rsidP="00F12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Recap: Standard Deviation and Variance</w:t>
      </w:r>
    </w:p>
    <w:p w14:paraId="42AB62E3" w14:textId="12112433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Two of the most common ways to measure risk in investing are standard deviation and variance.</w:t>
      </w:r>
    </w:p>
    <w:p w14:paraId="43FD6CB1" w14:textId="77777777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The standard deviation and variance of a data set measures the dispersion of returns from their average return (</w:t>
      </w:r>
      <w:proofErr w:type="gramStart"/>
      <w:r>
        <w:rPr>
          <w:sz w:val="18"/>
          <w:szCs w:val="18"/>
        </w:rPr>
        <w:t>i.e.</w:t>
      </w:r>
      <w:proofErr w:type="gramEnd"/>
      <w:r>
        <w:rPr>
          <w:sz w:val="18"/>
          <w:szCs w:val="18"/>
        </w:rPr>
        <w:t xml:space="preserve"> the spread of annual returns from their average return).</w:t>
      </w:r>
    </w:p>
    <w:p w14:paraId="6C3F8E0D" w14:textId="77777777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Consider this example:</w:t>
      </w:r>
    </w:p>
    <w:p w14:paraId="5D397B10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Facebook has generated returns over the last 5 years of:</w:t>
      </w:r>
    </w:p>
    <w:p w14:paraId="0132F5D9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12%</w:t>
      </w:r>
    </w:p>
    <w:p w14:paraId="1B0E41ED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Y2: 5%</w:t>
      </w:r>
    </w:p>
    <w:p w14:paraId="0D03EE81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Y3: (2%)</w:t>
      </w:r>
    </w:p>
    <w:p w14:paraId="6AE17BD4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Y4: 10%</w:t>
      </w:r>
    </w:p>
    <w:p w14:paraId="6758559C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Y5: 20%</w:t>
      </w:r>
    </w:p>
    <w:p w14:paraId="42D91EF5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 average (mean) return is 9%. </w:t>
      </w:r>
    </w:p>
    <w:p w14:paraId="1E857C51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 deviations from the mean for each year are: </w:t>
      </w:r>
    </w:p>
    <w:p w14:paraId="01FEE4B4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3%</w:t>
      </w:r>
    </w:p>
    <w:p w14:paraId="2A98867D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Y2: (4%)</w:t>
      </w:r>
    </w:p>
    <w:p w14:paraId="386C2CA0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Y3: (11%)</w:t>
      </w:r>
    </w:p>
    <w:p w14:paraId="28F8BDFC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Y4: 1%</w:t>
      </w:r>
    </w:p>
    <w:p w14:paraId="699D2770" w14:textId="77777777" w:rsidR="00F12576" w:rsidRDefault="00F12576" w:rsidP="00F12576">
      <w:pPr>
        <w:pStyle w:val="ListParagraph"/>
        <w:numPr>
          <w:ilvl w:val="2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Y5: 11%</w:t>
      </w:r>
    </w:p>
    <w:p w14:paraId="4CFEEB0C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 sum of the deviations always equals to zero (by virtue of how the mean is calculated). </w:t>
      </w:r>
    </w:p>
    <w:p w14:paraId="6A8C12C2" w14:textId="77777777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Therefore, a useful measure of dispersion is to calculate variance. </w:t>
      </w:r>
    </w:p>
    <w:p w14:paraId="1AB88FCB" w14:textId="77777777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Variance is the sum of squared deviations divided by the one less than the number of observations (sample method):</w:t>
      </w:r>
    </w:p>
    <w:p w14:paraId="35712721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3%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0.09%</w:t>
      </w:r>
    </w:p>
    <w:p w14:paraId="50F6E24C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(4%)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0.16%</w:t>
      </w:r>
    </w:p>
    <w:p w14:paraId="2A545820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(11%)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1.21%</w:t>
      </w:r>
    </w:p>
    <w:p w14:paraId="00C5874A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Y1: 1%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0.01%</w:t>
      </w:r>
    </w:p>
    <w:p w14:paraId="34E3D62F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Y5: 11%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1.21%</w:t>
      </w:r>
    </w:p>
    <w:p w14:paraId="239C9AAD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Sum = 2.68%</w:t>
      </w:r>
    </w:p>
    <w:p w14:paraId="49E69668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Divided by Number of Observations less 1 = 2.68% / 4</w:t>
      </w:r>
    </w:p>
    <w:p w14:paraId="2E24F4C7" w14:textId="77777777" w:rsidR="00F12576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Variance = 0.67%</w:t>
      </w:r>
    </w:p>
    <w:p w14:paraId="5ACF421E" w14:textId="77777777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To calculate the standard deviation, take the square root of the variance:</w:t>
      </w:r>
    </w:p>
    <w:p w14:paraId="5C287235" w14:textId="77777777" w:rsidR="00F12576" w:rsidRPr="005A1AA1" w:rsidRDefault="00F12576" w:rsidP="00F12576">
      <w:pPr>
        <w:pStyle w:val="ListParagraph"/>
        <w:numPr>
          <w:ilvl w:val="1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>SQRT (0.67%) = 8.19%</w:t>
      </w:r>
    </w:p>
    <w:p w14:paraId="16B23805" w14:textId="2953D110" w:rsidR="00F12576" w:rsidRDefault="00F12576" w:rsidP="00F12576">
      <w:pPr>
        <w:pStyle w:val="ListParagraph"/>
        <w:numPr>
          <w:ilvl w:val="0"/>
          <w:numId w:val="2"/>
        </w:numPr>
        <w:spacing w:beforeLines="80" w:before="192" w:afterLines="120" w:after="288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High standard deviations and variances indicate high volatility in returns, and hence a riskier investment. Conversely, lower standard deviations and variances indicate low volatility in returns, and hence represent a less risky investment. </w:t>
      </w:r>
    </w:p>
    <w:p w14:paraId="166D3928" w14:textId="4932ADEB" w:rsidR="00CF2F30" w:rsidRDefault="00CF2F30">
      <w:pPr>
        <w:rPr>
          <w:b/>
          <w:bCs/>
          <w:sz w:val="24"/>
          <w:szCs w:val="24"/>
        </w:rPr>
      </w:pPr>
    </w:p>
    <w:p w14:paraId="2AE115DD" w14:textId="70E1830B" w:rsidR="00F12576" w:rsidRPr="00761162" w:rsidRDefault="00F12576" w:rsidP="00F12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Quantifying Portfolio Risk</w:t>
      </w:r>
    </w:p>
    <w:p w14:paraId="18108652" w14:textId="72466281" w:rsidR="00F12576" w:rsidRDefault="00F12576" w:rsidP="00F12576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To calculate the risk for a </w:t>
      </w:r>
      <w:r w:rsidR="00150A41">
        <w:rPr>
          <w:sz w:val="18"/>
          <w:szCs w:val="18"/>
        </w:rPr>
        <w:t>P</w:t>
      </w:r>
      <w:r>
        <w:rPr>
          <w:sz w:val="18"/>
          <w:szCs w:val="18"/>
        </w:rPr>
        <w:t xml:space="preserve">ortfolio of multiple assets (in this case multiple funds), you need to </w:t>
      </w:r>
      <w:proofErr w:type="gramStart"/>
      <w:r>
        <w:rPr>
          <w:sz w:val="18"/>
          <w:szCs w:val="18"/>
        </w:rPr>
        <w:t>take into account</w:t>
      </w:r>
      <w:proofErr w:type="gramEnd"/>
      <w:r>
        <w:rPr>
          <w:sz w:val="18"/>
          <w:szCs w:val="18"/>
        </w:rPr>
        <w:t>:</w:t>
      </w:r>
    </w:p>
    <w:p w14:paraId="4CFDB2C2" w14:textId="3BFD1C37" w:rsidR="00F12576" w:rsidRDefault="00F407FE" w:rsidP="00F1257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(A) </w:t>
      </w:r>
      <w:r w:rsidR="00F12576">
        <w:rPr>
          <w:sz w:val="18"/>
          <w:szCs w:val="18"/>
        </w:rPr>
        <w:t xml:space="preserve">Weighting of each fund </w:t>
      </w:r>
      <w:r w:rsidR="005751D0">
        <w:rPr>
          <w:sz w:val="18"/>
          <w:szCs w:val="18"/>
        </w:rPr>
        <w:t xml:space="preserve">present </w:t>
      </w:r>
      <w:r w:rsidR="00F12576">
        <w:rPr>
          <w:sz w:val="18"/>
          <w:szCs w:val="18"/>
        </w:rPr>
        <w:t>in the portfolio</w:t>
      </w:r>
    </w:p>
    <w:p w14:paraId="3BBF9471" w14:textId="10034314" w:rsidR="00F12576" w:rsidRDefault="00F407FE" w:rsidP="00F1257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(B) </w:t>
      </w:r>
      <w:r w:rsidR="00F12576">
        <w:rPr>
          <w:sz w:val="18"/>
          <w:szCs w:val="18"/>
        </w:rPr>
        <w:t xml:space="preserve">Variance of each fund </w:t>
      </w:r>
      <w:r w:rsidR="005751D0">
        <w:rPr>
          <w:sz w:val="18"/>
          <w:szCs w:val="18"/>
        </w:rPr>
        <w:t xml:space="preserve">present </w:t>
      </w:r>
      <w:r w:rsidR="00F12576">
        <w:rPr>
          <w:sz w:val="18"/>
          <w:szCs w:val="18"/>
        </w:rPr>
        <w:t>in the portfolio</w:t>
      </w:r>
    </w:p>
    <w:p w14:paraId="3FAE9655" w14:textId="2A024100" w:rsidR="00F12576" w:rsidRDefault="00F407FE" w:rsidP="00F12576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(C) </w:t>
      </w:r>
      <w:r w:rsidR="00F12576">
        <w:rPr>
          <w:sz w:val="18"/>
          <w:szCs w:val="18"/>
        </w:rPr>
        <w:t xml:space="preserve">Co-variance of each fund with every other fund </w:t>
      </w:r>
      <w:r w:rsidR="005751D0">
        <w:rPr>
          <w:sz w:val="18"/>
          <w:szCs w:val="18"/>
        </w:rPr>
        <w:t xml:space="preserve">present </w:t>
      </w:r>
      <w:r w:rsidR="00F12576">
        <w:rPr>
          <w:sz w:val="18"/>
          <w:szCs w:val="18"/>
        </w:rPr>
        <w:t>in the portfolio (</w:t>
      </w:r>
      <w:proofErr w:type="gramStart"/>
      <w:r w:rsidR="00F12576">
        <w:rPr>
          <w:sz w:val="18"/>
          <w:szCs w:val="18"/>
        </w:rPr>
        <w:t>i.e.</w:t>
      </w:r>
      <w:proofErr w:type="gramEnd"/>
      <w:r w:rsidR="00F12576">
        <w:rPr>
          <w:sz w:val="18"/>
          <w:szCs w:val="18"/>
        </w:rPr>
        <w:t xml:space="preserve"> how similar are the value movements between the funds from one time period to the next)</w:t>
      </w:r>
    </w:p>
    <w:p w14:paraId="13B9C3B5" w14:textId="34782DFD" w:rsidR="00EB434E" w:rsidRDefault="00EB434E" w:rsidP="00EB434E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>
        <w:rPr>
          <w:b/>
          <w:bCs/>
          <w:sz w:val="18"/>
          <w:szCs w:val="18"/>
        </w:rPr>
        <w:t>(C)</w:t>
      </w:r>
      <w:r>
        <w:rPr>
          <w:sz w:val="18"/>
          <w:szCs w:val="18"/>
        </w:rPr>
        <w:t xml:space="preserve">, we need to create a </w:t>
      </w:r>
      <w:r w:rsidRPr="00363751">
        <w:rPr>
          <w:i/>
          <w:iCs/>
          <w:sz w:val="18"/>
          <w:szCs w:val="18"/>
        </w:rPr>
        <w:t>co-variance matrix</w:t>
      </w:r>
      <w:r>
        <w:rPr>
          <w:sz w:val="18"/>
          <w:szCs w:val="18"/>
        </w:rPr>
        <w:t xml:space="preserve">, which is essentially a grid that demonstrates the </w:t>
      </w:r>
      <w:r w:rsidRPr="00EB434E">
        <w:rPr>
          <w:sz w:val="18"/>
          <w:szCs w:val="18"/>
        </w:rPr>
        <w:t xml:space="preserve">relationship (co-variance) of each fund with every other fund under consideration. </w:t>
      </w:r>
    </w:p>
    <w:p w14:paraId="01891E2D" w14:textId="59A195FB" w:rsidR="000F4023" w:rsidRDefault="000F4023" w:rsidP="000F4023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For instance, in </w:t>
      </w:r>
      <w:r w:rsidR="00FB602A">
        <w:rPr>
          <w:sz w:val="18"/>
          <w:szCs w:val="18"/>
        </w:rPr>
        <w:t xml:space="preserve">the </w:t>
      </w:r>
      <w:r>
        <w:rPr>
          <w:sz w:val="18"/>
          <w:szCs w:val="18"/>
        </w:rPr>
        <w:t>example below, there are three funds under consideration</w:t>
      </w:r>
    </w:p>
    <w:p w14:paraId="00985515" w14:textId="732F2719" w:rsidR="00EB434E" w:rsidRDefault="00B84D83" w:rsidP="00B84D83">
      <w:pPr>
        <w:spacing w:before="80" w:after="120" w:line="288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2FBE7A9" wp14:editId="21C04D84">
            <wp:extent cx="3911600" cy="744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84" t="24543"/>
                    <a:stretch/>
                  </pic:blipFill>
                  <pic:spPr bwMode="auto">
                    <a:xfrm>
                      <a:off x="0" y="0"/>
                      <a:ext cx="3919778" cy="74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6B41" w14:textId="1B7E688F" w:rsidR="00B84D83" w:rsidRDefault="00B84D83" w:rsidP="00B84D83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The formula to calculate co-variance between two funds</w:t>
      </w:r>
      <w:r w:rsidR="000515AA">
        <w:rPr>
          <w:sz w:val="18"/>
          <w:szCs w:val="18"/>
        </w:rPr>
        <w:t xml:space="preserve"> (</w:t>
      </w:r>
      <w:proofErr w:type="gramStart"/>
      <w:r w:rsidR="000515AA">
        <w:rPr>
          <w:sz w:val="18"/>
          <w:szCs w:val="18"/>
        </w:rPr>
        <w:t>i.e.</w:t>
      </w:r>
      <w:proofErr w:type="gramEnd"/>
      <w:r w:rsidR="000515AA">
        <w:rPr>
          <w:sz w:val="18"/>
          <w:szCs w:val="18"/>
        </w:rPr>
        <w:t xml:space="preserve"> the values in the yellow cells)</w:t>
      </w:r>
      <w:r>
        <w:rPr>
          <w:sz w:val="18"/>
          <w:szCs w:val="18"/>
        </w:rPr>
        <w:t xml:space="preserve"> is:</w:t>
      </w:r>
    </w:p>
    <w:p w14:paraId="2AA07C49" w14:textId="7BA96CC6" w:rsidR="00B84D83" w:rsidRPr="00B84D83" w:rsidRDefault="00B84D83" w:rsidP="00B84D83">
      <w:pPr>
        <w:pStyle w:val="ListParagraph"/>
        <w:numPr>
          <w:ilvl w:val="2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= COVARIANCE.S (Fund 1’s returns column, Fund 2’s returns column)</w:t>
      </w:r>
    </w:p>
    <w:p w14:paraId="2DBEDBD8" w14:textId="48EC1A62" w:rsidR="00B84D83" w:rsidRDefault="00B84D83" w:rsidP="00B84D83">
      <w:pPr>
        <w:pStyle w:val="ListParagraph"/>
        <w:numPr>
          <w:ilvl w:val="2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 w:rsidR="00C225D7">
        <w:rPr>
          <w:sz w:val="18"/>
          <w:szCs w:val="18"/>
        </w:rPr>
        <w:t>instance</w:t>
      </w:r>
      <w:r>
        <w:rPr>
          <w:sz w:val="18"/>
          <w:szCs w:val="18"/>
        </w:rPr>
        <w:t xml:space="preserve">, if calculating Mid Cap’s co-variance with Small Cap, the formula would be </w:t>
      </w:r>
      <w:r>
        <w:rPr>
          <w:sz w:val="18"/>
          <w:szCs w:val="18"/>
        </w:rPr>
        <w:br/>
        <w:t xml:space="preserve">= COVARIANCE.S (B2:B8, C2:C8) </w:t>
      </w:r>
    </w:p>
    <w:p w14:paraId="5249EFD3" w14:textId="71B356FE" w:rsidR="00B84D83" w:rsidRDefault="00B84D83" w:rsidP="00B84D83">
      <w:pPr>
        <w:spacing w:before="80" w:after="120" w:line="288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4ACC5F5" wp14:editId="1894B9FB">
            <wp:extent cx="3064933" cy="12452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051" cy="12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8E0A" w14:textId="77777777" w:rsidR="00363751" w:rsidRDefault="00363751" w:rsidP="00363751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Once the co-variance matrix is completed, </w:t>
      </w:r>
      <w:r w:rsidRPr="00363751">
        <w:rPr>
          <w:i/>
          <w:iCs/>
          <w:sz w:val="18"/>
          <w:szCs w:val="18"/>
        </w:rPr>
        <w:t>the variance for each fund</w:t>
      </w:r>
      <w:r>
        <w:rPr>
          <w:sz w:val="18"/>
          <w:szCs w:val="18"/>
        </w:rPr>
        <w:t xml:space="preserve"> can be calculated using</w:t>
      </w:r>
    </w:p>
    <w:p w14:paraId="5E2CB17E" w14:textId="11A7A381" w:rsidR="00363751" w:rsidRDefault="00363751" w:rsidP="00363751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Each fund’s weighting </w:t>
      </w:r>
      <w:proofErr w:type="gramStart"/>
      <w:r>
        <w:rPr>
          <w:sz w:val="18"/>
          <w:szCs w:val="18"/>
        </w:rPr>
        <w:t>%;</w:t>
      </w:r>
      <w:proofErr w:type="gramEnd"/>
      <w:r>
        <w:rPr>
          <w:sz w:val="18"/>
          <w:szCs w:val="18"/>
        </w:rPr>
        <w:t xml:space="preserve"> </w:t>
      </w:r>
    </w:p>
    <w:p w14:paraId="799E3428" w14:textId="77777777" w:rsidR="00363751" w:rsidRDefault="00363751" w:rsidP="00363751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363751">
        <w:rPr>
          <w:sz w:val="18"/>
          <w:szCs w:val="18"/>
        </w:rPr>
        <w:t xml:space="preserve">co-variance </w:t>
      </w:r>
      <w:proofErr w:type="gramStart"/>
      <w:r w:rsidRPr="00363751">
        <w:rPr>
          <w:sz w:val="18"/>
          <w:szCs w:val="18"/>
        </w:rPr>
        <w:t>matrix</w:t>
      </w:r>
      <w:r>
        <w:rPr>
          <w:sz w:val="18"/>
          <w:szCs w:val="18"/>
        </w:rPr>
        <w:t>;</w:t>
      </w:r>
      <w:proofErr w:type="gramEnd"/>
      <w:r>
        <w:rPr>
          <w:sz w:val="18"/>
          <w:szCs w:val="18"/>
        </w:rPr>
        <w:t xml:space="preserve"> </w:t>
      </w:r>
    </w:p>
    <w:p w14:paraId="5500B485" w14:textId="1D97F405" w:rsidR="00363751" w:rsidRDefault="00363751" w:rsidP="00363751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The % weighting of every other fund in the portfolio.</w:t>
      </w:r>
    </w:p>
    <w:p w14:paraId="6925EF4F" w14:textId="2859EACD" w:rsidR="00924A1A" w:rsidRDefault="00924A1A" w:rsidP="00924A1A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Given the technicalities involved are beyond the scope of the task, this </w:t>
      </w:r>
      <w:r w:rsidR="005D1CD3">
        <w:rPr>
          <w:sz w:val="18"/>
          <w:szCs w:val="18"/>
        </w:rPr>
        <w:t xml:space="preserve">last </w:t>
      </w:r>
      <w:r>
        <w:rPr>
          <w:sz w:val="18"/>
          <w:szCs w:val="18"/>
        </w:rPr>
        <w:t>calculation has been completed for you within the Excel file for this task. You can review it in Row 49 of the “Portfolio Optimisation” sheet</w:t>
      </w:r>
    </w:p>
    <w:p w14:paraId="170FE313" w14:textId="0D43E239" w:rsidR="00363751" w:rsidRDefault="00924A1A" w:rsidP="00363751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Thereafter, the </w:t>
      </w:r>
      <w:r>
        <w:rPr>
          <w:i/>
          <w:iCs/>
          <w:sz w:val="18"/>
          <w:szCs w:val="18"/>
        </w:rPr>
        <w:t xml:space="preserve">Portfolio Variance </w:t>
      </w:r>
      <w:r>
        <w:rPr>
          <w:sz w:val="18"/>
          <w:szCs w:val="18"/>
        </w:rPr>
        <w:t xml:space="preserve">is then simply </w:t>
      </w:r>
      <w:r w:rsidR="00363751" w:rsidRPr="00924A1A">
        <w:rPr>
          <w:sz w:val="18"/>
          <w:szCs w:val="18"/>
        </w:rPr>
        <w:t xml:space="preserve">the sum of the variances of </w:t>
      </w:r>
      <w:r w:rsidR="000D5A23">
        <w:rPr>
          <w:sz w:val="18"/>
          <w:szCs w:val="18"/>
        </w:rPr>
        <w:t xml:space="preserve">the </w:t>
      </w:r>
      <w:r>
        <w:rPr>
          <w:sz w:val="18"/>
          <w:szCs w:val="18"/>
        </w:rPr>
        <w:t>fund</w:t>
      </w:r>
      <w:r w:rsidR="000D5A23">
        <w:rPr>
          <w:sz w:val="18"/>
          <w:szCs w:val="18"/>
        </w:rPr>
        <w:t>s in the portfolio</w:t>
      </w:r>
      <w:r>
        <w:rPr>
          <w:sz w:val="18"/>
          <w:szCs w:val="18"/>
        </w:rPr>
        <w:t>.</w:t>
      </w:r>
    </w:p>
    <w:p w14:paraId="55740CFC" w14:textId="15EB4A25" w:rsidR="00F12576" w:rsidRPr="00F36A19" w:rsidRDefault="00F36A19" w:rsidP="00F36A19">
      <w:pPr>
        <w:pStyle w:val="ListParagraph"/>
        <w:numPr>
          <w:ilvl w:val="1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To calculate the standard deviation of the portfolio, </w:t>
      </w:r>
      <w:r w:rsidR="00F12576" w:rsidRPr="00F36A19">
        <w:rPr>
          <w:sz w:val="18"/>
          <w:szCs w:val="18"/>
        </w:rPr>
        <w:t>as with a single asset, take the square root of the portfolio’s variance</w:t>
      </w:r>
    </w:p>
    <w:p w14:paraId="6441056B" w14:textId="4BDE107F" w:rsidR="009355EA" w:rsidRDefault="009355EA" w:rsidP="009355EA">
      <w:pPr>
        <w:spacing w:before="80" w:after="120" w:line="288" w:lineRule="auto"/>
        <w:rPr>
          <w:sz w:val="18"/>
          <w:szCs w:val="18"/>
        </w:rPr>
      </w:pPr>
    </w:p>
    <w:p w14:paraId="6785D0A5" w14:textId="3760E204" w:rsidR="009355EA" w:rsidRPr="00761162" w:rsidRDefault="0039231B" w:rsidP="009355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Sharpe Ratio</w:t>
      </w:r>
    </w:p>
    <w:p w14:paraId="48BE92E9" w14:textId="7E883179" w:rsidR="00F863FD" w:rsidRPr="00F863FD" w:rsidRDefault="00F863FD" w:rsidP="00F863FD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In this exercise, we are using the Sharpe Ratio as our measure of risk-adjusted return</w:t>
      </w:r>
    </w:p>
    <w:p w14:paraId="7F190619" w14:textId="49DEEC76" w:rsidR="00561344" w:rsidRDefault="00F863FD" w:rsidP="00561344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>The Sharpe Ratio m</w:t>
      </w:r>
      <w:r w:rsidR="00561344" w:rsidRPr="00E15521">
        <w:rPr>
          <w:sz w:val="18"/>
          <w:szCs w:val="18"/>
        </w:rPr>
        <w:t xml:space="preserve">easures an investment's return after </w:t>
      </w:r>
      <w:r>
        <w:rPr>
          <w:sz w:val="18"/>
          <w:szCs w:val="18"/>
        </w:rPr>
        <w:t xml:space="preserve">accounting for </w:t>
      </w:r>
      <w:r w:rsidR="00561344" w:rsidRPr="00E15521">
        <w:rPr>
          <w:sz w:val="18"/>
          <w:szCs w:val="18"/>
        </w:rPr>
        <w:t xml:space="preserve">the </w:t>
      </w:r>
      <w:r w:rsidR="002E2EC0">
        <w:rPr>
          <w:sz w:val="18"/>
          <w:szCs w:val="18"/>
        </w:rPr>
        <w:t xml:space="preserve">level of </w:t>
      </w:r>
      <w:r w:rsidR="00561344" w:rsidRPr="00E15521">
        <w:rPr>
          <w:sz w:val="18"/>
          <w:szCs w:val="18"/>
        </w:rPr>
        <w:t>risk that was taken to achieve it.</w:t>
      </w:r>
      <w:r w:rsidR="007C7B70">
        <w:rPr>
          <w:sz w:val="18"/>
          <w:szCs w:val="18"/>
        </w:rPr>
        <w:t xml:space="preserve"> It measures the “expected excess return per unit of risk”</w:t>
      </w:r>
    </w:p>
    <w:p w14:paraId="4FD50B86" w14:textId="774A2168" w:rsidR="007C7B70" w:rsidRDefault="007C7B70" w:rsidP="00561344">
      <w:pPr>
        <w:pStyle w:val="ListParagraph"/>
        <w:numPr>
          <w:ilvl w:val="0"/>
          <w:numId w:val="2"/>
        </w:numPr>
        <w:spacing w:before="8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When comparing two investments against the same benchmark (in this case the risk-free rate </w:t>
      </w:r>
      <w:r w:rsidR="002F08CF">
        <w:rPr>
          <w:sz w:val="18"/>
          <w:szCs w:val="18"/>
        </w:rPr>
        <w:t>is the</w:t>
      </w:r>
      <w:r>
        <w:rPr>
          <w:sz w:val="18"/>
          <w:szCs w:val="18"/>
        </w:rPr>
        <w:t xml:space="preserve"> 10 Year US Treasury Yield), the asset with the higher Sharpe ratio provides a higher return for the same amount of risk, or the same return for a lower risk than the other asset</w:t>
      </w:r>
    </w:p>
    <w:p w14:paraId="6DA213E0" w14:textId="36BFF9F4" w:rsidR="00505E8F" w:rsidRPr="00A0533D" w:rsidRDefault="00561344" w:rsidP="00505E8F">
      <w:pPr>
        <w:pStyle w:val="ListParagraph"/>
        <w:numPr>
          <w:ilvl w:val="0"/>
          <w:numId w:val="2"/>
        </w:numPr>
        <w:spacing w:before="80" w:after="120" w:line="288" w:lineRule="auto"/>
        <w:rPr>
          <w:i/>
          <w:iCs/>
          <w:sz w:val="18"/>
          <w:szCs w:val="18"/>
        </w:rPr>
      </w:pPr>
      <w:r w:rsidRPr="00A0533D">
        <w:rPr>
          <w:i/>
          <w:iCs/>
          <w:sz w:val="18"/>
          <w:szCs w:val="18"/>
        </w:rPr>
        <w:t xml:space="preserve">When comparing two different investments against the same benchmark, the asset with the higher Sharpe ratio provides a higher return </w:t>
      </w:r>
      <w:r w:rsidR="00F01229" w:rsidRPr="00A0533D">
        <w:rPr>
          <w:i/>
          <w:iCs/>
          <w:sz w:val="18"/>
          <w:szCs w:val="18"/>
        </w:rPr>
        <w:t xml:space="preserve">once adjusted for the </w:t>
      </w:r>
      <w:r w:rsidRPr="00A0533D">
        <w:rPr>
          <w:i/>
          <w:iCs/>
          <w:sz w:val="18"/>
          <w:szCs w:val="18"/>
        </w:rPr>
        <w:t>same amount of risk</w:t>
      </w:r>
    </w:p>
    <w:sectPr w:rsidR="00505E8F" w:rsidRPr="00A0533D" w:rsidSect="00B07227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B99D" w14:textId="77777777" w:rsidR="004A41DC" w:rsidRDefault="004A41DC" w:rsidP="00ED4696">
      <w:pPr>
        <w:spacing w:after="0" w:line="240" w:lineRule="auto"/>
      </w:pPr>
      <w:r>
        <w:separator/>
      </w:r>
    </w:p>
  </w:endnote>
  <w:endnote w:type="continuationSeparator" w:id="0">
    <w:p w14:paraId="59909AFA" w14:textId="77777777" w:rsidR="004A41DC" w:rsidRDefault="004A41DC" w:rsidP="00ED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3BD6" w14:textId="77777777" w:rsidR="004A41DC" w:rsidRDefault="004A41DC" w:rsidP="00ED4696">
      <w:pPr>
        <w:spacing w:after="0" w:line="240" w:lineRule="auto"/>
      </w:pPr>
      <w:r>
        <w:separator/>
      </w:r>
    </w:p>
  </w:footnote>
  <w:footnote w:type="continuationSeparator" w:id="0">
    <w:p w14:paraId="7A024CEF" w14:textId="77777777" w:rsidR="004A41DC" w:rsidRDefault="004A41DC" w:rsidP="00ED4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2BE"/>
    <w:multiLevelType w:val="hybridMultilevel"/>
    <w:tmpl w:val="4FB8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C05"/>
    <w:multiLevelType w:val="hybridMultilevel"/>
    <w:tmpl w:val="ED8CD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4C93"/>
    <w:multiLevelType w:val="hybridMultilevel"/>
    <w:tmpl w:val="B27A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DA5"/>
    <w:multiLevelType w:val="hybridMultilevel"/>
    <w:tmpl w:val="57ACF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9155C"/>
    <w:multiLevelType w:val="hybridMultilevel"/>
    <w:tmpl w:val="57E2D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562B"/>
    <w:multiLevelType w:val="hybridMultilevel"/>
    <w:tmpl w:val="87C05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723C"/>
    <w:multiLevelType w:val="hybridMultilevel"/>
    <w:tmpl w:val="8F46D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12A7A"/>
    <w:multiLevelType w:val="hybridMultilevel"/>
    <w:tmpl w:val="AD9E0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4568"/>
    <w:multiLevelType w:val="hybridMultilevel"/>
    <w:tmpl w:val="BB3E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53306"/>
    <w:multiLevelType w:val="hybridMultilevel"/>
    <w:tmpl w:val="54A475A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3029DC"/>
    <w:multiLevelType w:val="hybridMultilevel"/>
    <w:tmpl w:val="2EEEB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A9"/>
    <w:rsid w:val="00001D62"/>
    <w:rsid w:val="00005567"/>
    <w:rsid w:val="0000626D"/>
    <w:rsid w:val="00015003"/>
    <w:rsid w:val="000346E2"/>
    <w:rsid w:val="00037691"/>
    <w:rsid w:val="0004210C"/>
    <w:rsid w:val="0004327C"/>
    <w:rsid w:val="000515AA"/>
    <w:rsid w:val="00052453"/>
    <w:rsid w:val="00052835"/>
    <w:rsid w:val="0005615A"/>
    <w:rsid w:val="000717E5"/>
    <w:rsid w:val="00081F6C"/>
    <w:rsid w:val="00082D9A"/>
    <w:rsid w:val="000907D0"/>
    <w:rsid w:val="00095CFE"/>
    <w:rsid w:val="000A025C"/>
    <w:rsid w:val="000A69AC"/>
    <w:rsid w:val="000B4A43"/>
    <w:rsid w:val="000C172F"/>
    <w:rsid w:val="000C68E9"/>
    <w:rsid w:val="000D01B7"/>
    <w:rsid w:val="000D41A8"/>
    <w:rsid w:val="000D5A23"/>
    <w:rsid w:val="000F4023"/>
    <w:rsid w:val="0010492D"/>
    <w:rsid w:val="0011245B"/>
    <w:rsid w:val="00120685"/>
    <w:rsid w:val="0012277D"/>
    <w:rsid w:val="0013057E"/>
    <w:rsid w:val="00130809"/>
    <w:rsid w:val="00135A88"/>
    <w:rsid w:val="00135AF0"/>
    <w:rsid w:val="001417CC"/>
    <w:rsid w:val="00142725"/>
    <w:rsid w:val="001442FC"/>
    <w:rsid w:val="001462A4"/>
    <w:rsid w:val="0015029C"/>
    <w:rsid w:val="00150A41"/>
    <w:rsid w:val="00152B26"/>
    <w:rsid w:val="0015409D"/>
    <w:rsid w:val="00160A41"/>
    <w:rsid w:val="00175527"/>
    <w:rsid w:val="00181D37"/>
    <w:rsid w:val="0018593B"/>
    <w:rsid w:val="001A48AE"/>
    <w:rsid w:val="001C1B40"/>
    <w:rsid w:val="001D5264"/>
    <w:rsid w:val="001E527E"/>
    <w:rsid w:val="001F039E"/>
    <w:rsid w:val="001F7F95"/>
    <w:rsid w:val="00204CBA"/>
    <w:rsid w:val="002161B3"/>
    <w:rsid w:val="00224BAE"/>
    <w:rsid w:val="00240A69"/>
    <w:rsid w:val="0024494A"/>
    <w:rsid w:val="00244BF1"/>
    <w:rsid w:val="002601E3"/>
    <w:rsid w:val="0028224C"/>
    <w:rsid w:val="002847CC"/>
    <w:rsid w:val="002B0C02"/>
    <w:rsid w:val="002B2F4E"/>
    <w:rsid w:val="002B35CB"/>
    <w:rsid w:val="002C1113"/>
    <w:rsid w:val="002C24F5"/>
    <w:rsid w:val="002C2FC1"/>
    <w:rsid w:val="002C367E"/>
    <w:rsid w:val="002D0E48"/>
    <w:rsid w:val="002D1FB0"/>
    <w:rsid w:val="002D36A0"/>
    <w:rsid w:val="002E04E2"/>
    <w:rsid w:val="002E2EC0"/>
    <w:rsid w:val="002E4649"/>
    <w:rsid w:val="002F0128"/>
    <w:rsid w:val="002F08CF"/>
    <w:rsid w:val="002F0C27"/>
    <w:rsid w:val="002F1CD8"/>
    <w:rsid w:val="002F28A2"/>
    <w:rsid w:val="00300AB1"/>
    <w:rsid w:val="003037A2"/>
    <w:rsid w:val="00312510"/>
    <w:rsid w:val="0031257E"/>
    <w:rsid w:val="00320B50"/>
    <w:rsid w:val="00325674"/>
    <w:rsid w:val="00325C61"/>
    <w:rsid w:val="003335E0"/>
    <w:rsid w:val="00335CB9"/>
    <w:rsid w:val="00336593"/>
    <w:rsid w:val="00336BCA"/>
    <w:rsid w:val="003504D9"/>
    <w:rsid w:val="00351505"/>
    <w:rsid w:val="00353BE1"/>
    <w:rsid w:val="003570BF"/>
    <w:rsid w:val="00363751"/>
    <w:rsid w:val="00363A61"/>
    <w:rsid w:val="003658D5"/>
    <w:rsid w:val="00377A4D"/>
    <w:rsid w:val="00383161"/>
    <w:rsid w:val="003846F8"/>
    <w:rsid w:val="00386075"/>
    <w:rsid w:val="00387EA4"/>
    <w:rsid w:val="0039231B"/>
    <w:rsid w:val="00393693"/>
    <w:rsid w:val="0039623A"/>
    <w:rsid w:val="003A6008"/>
    <w:rsid w:val="003A6C04"/>
    <w:rsid w:val="003B1A66"/>
    <w:rsid w:val="003B321A"/>
    <w:rsid w:val="003E169B"/>
    <w:rsid w:val="004011BA"/>
    <w:rsid w:val="0040465D"/>
    <w:rsid w:val="0040731F"/>
    <w:rsid w:val="00417439"/>
    <w:rsid w:val="00417640"/>
    <w:rsid w:val="00420797"/>
    <w:rsid w:val="004253EE"/>
    <w:rsid w:val="00453186"/>
    <w:rsid w:val="00455358"/>
    <w:rsid w:val="00457FC0"/>
    <w:rsid w:val="004615D2"/>
    <w:rsid w:val="00475D18"/>
    <w:rsid w:val="00486744"/>
    <w:rsid w:val="0049266B"/>
    <w:rsid w:val="0049606C"/>
    <w:rsid w:val="004A405B"/>
    <w:rsid w:val="004A41DC"/>
    <w:rsid w:val="004A6129"/>
    <w:rsid w:val="004B2481"/>
    <w:rsid w:val="004B3612"/>
    <w:rsid w:val="004B3EFC"/>
    <w:rsid w:val="004C5479"/>
    <w:rsid w:val="004C7E7A"/>
    <w:rsid w:val="004F3B6E"/>
    <w:rsid w:val="00505E8F"/>
    <w:rsid w:val="005108DB"/>
    <w:rsid w:val="005130F7"/>
    <w:rsid w:val="0054494E"/>
    <w:rsid w:val="005474AD"/>
    <w:rsid w:val="00550212"/>
    <w:rsid w:val="005523D4"/>
    <w:rsid w:val="0055535C"/>
    <w:rsid w:val="00561344"/>
    <w:rsid w:val="00566842"/>
    <w:rsid w:val="00567931"/>
    <w:rsid w:val="005751D0"/>
    <w:rsid w:val="005777F7"/>
    <w:rsid w:val="00580155"/>
    <w:rsid w:val="00586FF2"/>
    <w:rsid w:val="00594ED4"/>
    <w:rsid w:val="0059668C"/>
    <w:rsid w:val="00597920"/>
    <w:rsid w:val="005A1AA1"/>
    <w:rsid w:val="005A623F"/>
    <w:rsid w:val="005A7C38"/>
    <w:rsid w:val="005B0141"/>
    <w:rsid w:val="005B500C"/>
    <w:rsid w:val="005B61C1"/>
    <w:rsid w:val="005C3B01"/>
    <w:rsid w:val="005D1CD3"/>
    <w:rsid w:val="005D25B6"/>
    <w:rsid w:val="005E0797"/>
    <w:rsid w:val="005E40BF"/>
    <w:rsid w:val="005F034A"/>
    <w:rsid w:val="005F4DF6"/>
    <w:rsid w:val="005F6E4D"/>
    <w:rsid w:val="00602F31"/>
    <w:rsid w:val="0060405B"/>
    <w:rsid w:val="0061147A"/>
    <w:rsid w:val="00615E3D"/>
    <w:rsid w:val="0062237D"/>
    <w:rsid w:val="0063639F"/>
    <w:rsid w:val="00641142"/>
    <w:rsid w:val="00644ACE"/>
    <w:rsid w:val="00652767"/>
    <w:rsid w:val="00656586"/>
    <w:rsid w:val="00661F99"/>
    <w:rsid w:val="00663ED6"/>
    <w:rsid w:val="00675A6C"/>
    <w:rsid w:val="00675BA4"/>
    <w:rsid w:val="006841B7"/>
    <w:rsid w:val="00691BE8"/>
    <w:rsid w:val="0069379D"/>
    <w:rsid w:val="00694446"/>
    <w:rsid w:val="006A3AC6"/>
    <w:rsid w:val="006A7010"/>
    <w:rsid w:val="006A798C"/>
    <w:rsid w:val="006B0160"/>
    <w:rsid w:val="006B0E66"/>
    <w:rsid w:val="006B73C8"/>
    <w:rsid w:val="006B7EB3"/>
    <w:rsid w:val="006C59C9"/>
    <w:rsid w:val="006D0898"/>
    <w:rsid w:val="006D11F2"/>
    <w:rsid w:val="006D40A9"/>
    <w:rsid w:val="006E095D"/>
    <w:rsid w:val="006F30AA"/>
    <w:rsid w:val="006F4526"/>
    <w:rsid w:val="00702DB1"/>
    <w:rsid w:val="00705990"/>
    <w:rsid w:val="007067B5"/>
    <w:rsid w:val="007115BE"/>
    <w:rsid w:val="00713CA1"/>
    <w:rsid w:val="007364A9"/>
    <w:rsid w:val="00742CFA"/>
    <w:rsid w:val="00760489"/>
    <w:rsid w:val="00761162"/>
    <w:rsid w:val="00764ABE"/>
    <w:rsid w:val="00767496"/>
    <w:rsid w:val="007734EA"/>
    <w:rsid w:val="00773ADD"/>
    <w:rsid w:val="00775E53"/>
    <w:rsid w:val="00783AD4"/>
    <w:rsid w:val="00783CF7"/>
    <w:rsid w:val="00790FEE"/>
    <w:rsid w:val="007969EF"/>
    <w:rsid w:val="007A0D66"/>
    <w:rsid w:val="007A15BC"/>
    <w:rsid w:val="007B0F76"/>
    <w:rsid w:val="007B1610"/>
    <w:rsid w:val="007C7AD6"/>
    <w:rsid w:val="007C7B70"/>
    <w:rsid w:val="007D4967"/>
    <w:rsid w:val="007D49A6"/>
    <w:rsid w:val="007E529F"/>
    <w:rsid w:val="008021D7"/>
    <w:rsid w:val="00803F0C"/>
    <w:rsid w:val="00810725"/>
    <w:rsid w:val="00811A03"/>
    <w:rsid w:val="00816F33"/>
    <w:rsid w:val="0083793E"/>
    <w:rsid w:val="00845529"/>
    <w:rsid w:val="00846DD9"/>
    <w:rsid w:val="00853DB4"/>
    <w:rsid w:val="0088281A"/>
    <w:rsid w:val="008960A5"/>
    <w:rsid w:val="00896AD5"/>
    <w:rsid w:val="00897B69"/>
    <w:rsid w:val="008A32BA"/>
    <w:rsid w:val="008B2928"/>
    <w:rsid w:val="008B4CF3"/>
    <w:rsid w:val="008B7F0A"/>
    <w:rsid w:val="008D199B"/>
    <w:rsid w:val="008D19E2"/>
    <w:rsid w:val="008D235D"/>
    <w:rsid w:val="008D2B23"/>
    <w:rsid w:val="008D68E1"/>
    <w:rsid w:val="008E0782"/>
    <w:rsid w:val="008E0CFF"/>
    <w:rsid w:val="008E7D0A"/>
    <w:rsid w:val="008F2AB4"/>
    <w:rsid w:val="008F5437"/>
    <w:rsid w:val="0090265B"/>
    <w:rsid w:val="00904901"/>
    <w:rsid w:val="009158CB"/>
    <w:rsid w:val="00917413"/>
    <w:rsid w:val="00917730"/>
    <w:rsid w:val="00924A1A"/>
    <w:rsid w:val="00930E0A"/>
    <w:rsid w:val="009355EA"/>
    <w:rsid w:val="00941976"/>
    <w:rsid w:val="00941F88"/>
    <w:rsid w:val="00942A62"/>
    <w:rsid w:val="00946371"/>
    <w:rsid w:val="0094691A"/>
    <w:rsid w:val="00947FFE"/>
    <w:rsid w:val="00951D76"/>
    <w:rsid w:val="00954B8F"/>
    <w:rsid w:val="00954CFA"/>
    <w:rsid w:val="009800C4"/>
    <w:rsid w:val="00982B41"/>
    <w:rsid w:val="0098354B"/>
    <w:rsid w:val="00985B8E"/>
    <w:rsid w:val="00987698"/>
    <w:rsid w:val="009878A4"/>
    <w:rsid w:val="00997388"/>
    <w:rsid w:val="009C5192"/>
    <w:rsid w:val="009C7E07"/>
    <w:rsid w:val="009D0D9A"/>
    <w:rsid w:val="009D24DF"/>
    <w:rsid w:val="009E5F99"/>
    <w:rsid w:val="009F3329"/>
    <w:rsid w:val="009F7B90"/>
    <w:rsid w:val="00A03B74"/>
    <w:rsid w:val="00A0533D"/>
    <w:rsid w:val="00A10F1A"/>
    <w:rsid w:val="00A14427"/>
    <w:rsid w:val="00A2266D"/>
    <w:rsid w:val="00A262E1"/>
    <w:rsid w:val="00A34C87"/>
    <w:rsid w:val="00A40FA2"/>
    <w:rsid w:val="00A4164D"/>
    <w:rsid w:val="00A4167D"/>
    <w:rsid w:val="00A44950"/>
    <w:rsid w:val="00A64295"/>
    <w:rsid w:val="00A65208"/>
    <w:rsid w:val="00A72414"/>
    <w:rsid w:val="00A777ED"/>
    <w:rsid w:val="00A90C16"/>
    <w:rsid w:val="00A9426F"/>
    <w:rsid w:val="00A9493C"/>
    <w:rsid w:val="00A96235"/>
    <w:rsid w:val="00AA707D"/>
    <w:rsid w:val="00AB0857"/>
    <w:rsid w:val="00AC1D49"/>
    <w:rsid w:val="00AD0267"/>
    <w:rsid w:val="00AD0E08"/>
    <w:rsid w:val="00AD3D2D"/>
    <w:rsid w:val="00AD5C17"/>
    <w:rsid w:val="00AE40E0"/>
    <w:rsid w:val="00AE4A56"/>
    <w:rsid w:val="00AF22C3"/>
    <w:rsid w:val="00AF7AB8"/>
    <w:rsid w:val="00AF7E0D"/>
    <w:rsid w:val="00B01BE5"/>
    <w:rsid w:val="00B029A2"/>
    <w:rsid w:val="00B06BB0"/>
    <w:rsid w:val="00B163C6"/>
    <w:rsid w:val="00B210FE"/>
    <w:rsid w:val="00B25176"/>
    <w:rsid w:val="00B426AE"/>
    <w:rsid w:val="00B44030"/>
    <w:rsid w:val="00B46EAB"/>
    <w:rsid w:val="00B52938"/>
    <w:rsid w:val="00B55850"/>
    <w:rsid w:val="00B55FC0"/>
    <w:rsid w:val="00B5712E"/>
    <w:rsid w:val="00B64D1C"/>
    <w:rsid w:val="00B654A9"/>
    <w:rsid w:val="00B659FA"/>
    <w:rsid w:val="00B72FE5"/>
    <w:rsid w:val="00B74879"/>
    <w:rsid w:val="00B77721"/>
    <w:rsid w:val="00B84D83"/>
    <w:rsid w:val="00BA31A4"/>
    <w:rsid w:val="00BB7210"/>
    <w:rsid w:val="00BC57A2"/>
    <w:rsid w:val="00BD6A71"/>
    <w:rsid w:val="00BE02F0"/>
    <w:rsid w:val="00BE316F"/>
    <w:rsid w:val="00BE4834"/>
    <w:rsid w:val="00BF6B80"/>
    <w:rsid w:val="00BF7DAE"/>
    <w:rsid w:val="00C00F09"/>
    <w:rsid w:val="00C133E9"/>
    <w:rsid w:val="00C225D7"/>
    <w:rsid w:val="00C269DF"/>
    <w:rsid w:val="00C32F66"/>
    <w:rsid w:val="00C408B9"/>
    <w:rsid w:val="00C45D32"/>
    <w:rsid w:val="00C46AE2"/>
    <w:rsid w:val="00C47E40"/>
    <w:rsid w:val="00C61614"/>
    <w:rsid w:val="00C7071F"/>
    <w:rsid w:val="00C72F5C"/>
    <w:rsid w:val="00C811DB"/>
    <w:rsid w:val="00C870C0"/>
    <w:rsid w:val="00C92EBA"/>
    <w:rsid w:val="00C9715A"/>
    <w:rsid w:val="00CA2F15"/>
    <w:rsid w:val="00CA42AA"/>
    <w:rsid w:val="00CA6A3F"/>
    <w:rsid w:val="00CC44B2"/>
    <w:rsid w:val="00CC698A"/>
    <w:rsid w:val="00CD162D"/>
    <w:rsid w:val="00CD2D3B"/>
    <w:rsid w:val="00CD5259"/>
    <w:rsid w:val="00CE098A"/>
    <w:rsid w:val="00CE4878"/>
    <w:rsid w:val="00CE6822"/>
    <w:rsid w:val="00CF2F30"/>
    <w:rsid w:val="00CF3C4B"/>
    <w:rsid w:val="00D0053A"/>
    <w:rsid w:val="00D03CE4"/>
    <w:rsid w:val="00D055BB"/>
    <w:rsid w:val="00D15846"/>
    <w:rsid w:val="00D26537"/>
    <w:rsid w:val="00D27372"/>
    <w:rsid w:val="00D30115"/>
    <w:rsid w:val="00D426DA"/>
    <w:rsid w:val="00D427AA"/>
    <w:rsid w:val="00D508A7"/>
    <w:rsid w:val="00D5758F"/>
    <w:rsid w:val="00D75631"/>
    <w:rsid w:val="00D7594D"/>
    <w:rsid w:val="00D80C3D"/>
    <w:rsid w:val="00D80D06"/>
    <w:rsid w:val="00D832B5"/>
    <w:rsid w:val="00D95011"/>
    <w:rsid w:val="00DA5B06"/>
    <w:rsid w:val="00DB2213"/>
    <w:rsid w:val="00DB3ABB"/>
    <w:rsid w:val="00DD07D9"/>
    <w:rsid w:val="00DE6A48"/>
    <w:rsid w:val="00DF39E7"/>
    <w:rsid w:val="00E13533"/>
    <w:rsid w:val="00E15521"/>
    <w:rsid w:val="00E17002"/>
    <w:rsid w:val="00E2003E"/>
    <w:rsid w:val="00E247C4"/>
    <w:rsid w:val="00E34E4A"/>
    <w:rsid w:val="00E409AF"/>
    <w:rsid w:val="00E43FED"/>
    <w:rsid w:val="00E543B0"/>
    <w:rsid w:val="00E821E7"/>
    <w:rsid w:val="00E84F11"/>
    <w:rsid w:val="00E94CD0"/>
    <w:rsid w:val="00EA1274"/>
    <w:rsid w:val="00EB434E"/>
    <w:rsid w:val="00EC1E65"/>
    <w:rsid w:val="00ED4696"/>
    <w:rsid w:val="00EE55CC"/>
    <w:rsid w:val="00EE66E9"/>
    <w:rsid w:val="00F00EC9"/>
    <w:rsid w:val="00F01229"/>
    <w:rsid w:val="00F01E5E"/>
    <w:rsid w:val="00F062A1"/>
    <w:rsid w:val="00F07AC3"/>
    <w:rsid w:val="00F12576"/>
    <w:rsid w:val="00F128FB"/>
    <w:rsid w:val="00F203C9"/>
    <w:rsid w:val="00F24B91"/>
    <w:rsid w:val="00F24D80"/>
    <w:rsid w:val="00F36A19"/>
    <w:rsid w:val="00F407FE"/>
    <w:rsid w:val="00F4762E"/>
    <w:rsid w:val="00F47D16"/>
    <w:rsid w:val="00F52D5F"/>
    <w:rsid w:val="00F559EB"/>
    <w:rsid w:val="00F60B9D"/>
    <w:rsid w:val="00F7126E"/>
    <w:rsid w:val="00F749EE"/>
    <w:rsid w:val="00F863FD"/>
    <w:rsid w:val="00F91D11"/>
    <w:rsid w:val="00F92198"/>
    <w:rsid w:val="00F97152"/>
    <w:rsid w:val="00FA6089"/>
    <w:rsid w:val="00FB602A"/>
    <w:rsid w:val="00FC0B82"/>
    <w:rsid w:val="00FC5BD8"/>
    <w:rsid w:val="00FC5DC1"/>
    <w:rsid w:val="00FD10F9"/>
    <w:rsid w:val="00FD40DD"/>
    <w:rsid w:val="00FE3037"/>
    <w:rsid w:val="00FE3644"/>
    <w:rsid w:val="00FE4771"/>
    <w:rsid w:val="00FF16A7"/>
    <w:rsid w:val="00FF4297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E49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A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8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4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9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D4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9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2021-05-22T06:17:00Z</dcterms:created>
  <dcterms:modified xsi:type="dcterms:W3CDTF">2021-05-24T03:40:00Z</dcterms:modified>
</cp:coreProperties>
</file>