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val="0"/>
          <w:i w:val="0"/>
          <w:sz w:val="48"/>
        </w:rPr>
        <w:t>APL Logistics Profitability Intelligence</w:t>
      </w:r>
    </w:p>
    <w:p>
      <w:pPr>
        <w:spacing w:after="160"/>
        <w:jc w:val="center"/>
      </w:pPr>
      <w:r>
        <w:rPr>
          <w:rFonts w:ascii="Times New Roman" w:hAnsi="Times New Roman"/>
          <w:b w:val="0"/>
          <w:i w:val="0"/>
          <w:sz w:val="22"/>
        </w:rPr>
        <w:t>[Student Name]</w:t>
        <w:br/>
        <w:t>Supply Chain Analytics Project</w:t>
      </w:r>
    </w:p>
    <w:p>
      <w:pPr>
        <w:sectPr>
          <w:pgSz w:w="12240" w:h="15840"/>
          <w:pgMar w:top="936" w:right="1080" w:bottom="936" w:left="1080" w:header="720" w:footer="720" w:gutter="0"/>
          <w:cols w:space="720"/>
          <w:docGrid w:linePitch="360"/>
        </w:sectPr>
      </w:pPr>
    </w:p>
    <w:p>
      <w:pPr>
        <w:spacing w:after="80" w:line="240" w:lineRule="auto"/>
      </w:pPr>
      <w:r>
        <w:rPr>
          <w:rFonts w:ascii="Times New Roman" w:hAnsi="Times New Roman"/>
          <w:b/>
          <w:i w:val="0"/>
          <w:sz w:val="18"/>
        </w:rPr>
        <w:t>Abstract—</w:t>
      </w:r>
      <w:r>
        <w:rPr>
          <w:rFonts w:ascii="Times New Roman" w:hAnsi="Times New Roman"/>
          <w:b w:val="0"/>
          <w:i w:val="0"/>
          <w:sz w:val="18"/>
        </w:rPr>
        <w:t>This study analyses 180,519 APL Logistics order-line records to identify the commercial factors associated with revenue, profitability, customer value, product performance, and discounting. The dataset covers five markets, 50 product categories, and 20,652 customers. Recorded sales total $36.78M and profit totals $3.97M, producing a 10.8% overall profit margin. A Streamlit dashboard built with Python, Pandas, and Plotly presents market, customer, category, product, and discount insights. The results show strong profit concentration in Europe and LATAM, variation in customer-segment contribution, and lower margins at higher discount levels. The paper recommends discount guardrails, customer-value tiers, and routine profitability monitoring.</w:t>
      </w:r>
    </w:p>
    <w:p>
      <w:pPr>
        <w:spacing w:after="120"/>
      </w:pPr>
      <w:r>
        <w:rPr>
          <w:rFonts w:ascii="Times New Roman" w:hAnsi="Times New Roman"/>
          <w:b/>
          <w:i w:val="0"/>
          <w:sz w:val="18"/>
        </w:rPr>
        <w:t>Index Terms—</w:t>
      </w:r>
      <w:r>
        <w:rPr>
          <w:rFonts w:ascii="Times New Roman" w:hAnsi="Times New Roman"/>
          <w:b w:val="0"/>
          <w:i/>
          <w:sz w:val="18"/>
        </w:rPr>
        <w:t>supply chain analytics, profitability, customer value, discount analysis, exploratory data analysis, Streamlit.</w:t>
      </w:r>
    </w:p>
    <w:p>
      <w:pPr>
        <w:keepNext/>
        <w:spacing w:before="160" w:after="80"/>
        <w:jc w:val="center"/>
      </w:pPr>
      <w:r>
        <w:rPr>
          <w:rFonts w:ascii="Times New Roman" w:hAnsi="Times New Roman"/>
          <w:b/>
          <w:i w:val="0"/>
          <w:sz w:val="20"/>
        </w:rPr>
        <w:t>I. INTRODUCTION</w:t>
      </w:r>
    </w:p>
    <w:p>
      <w:pPr>
        <w:spacing w:before="0" w:after="80" w:line="240" w:lineRule="auto"/>
        <w:jc w:val="both"/>
      </w:pPr>
      <w:r>
        <w:rPr>
          <w:rFonts w:ascii="Times New Roman" w:hAnsi="Times New Roman"/>
          <w:b w:val="0"/>
          <w:i w:val="0"/>
          <w:sz w:val="20"/>
        </w:rPr>
        <w:t>Supply-chain decisions benefit from connecting commercial activity with financial outcomes. The APL Logistics dashboard brings sales, profit, customers, products, discounts, categories, and markets into one view. It supports descriptive exploratory data analysis (EDA) rather than causal inference, and addresses three questions: which entities create value, how discounting relates to margin, and where management attention should be directed.</w:t>
      </w:r>
    </w:p>
    <w:p>
      <w:pPr>
        <w:keepNext/>
        <w:spacing w:before="160" w:after="80"/>
        <w:jc w:val="center"/>
      </w:pPr>
      <w:r>
        <w:rPr>
          <w:rFonts w:ascii="Times New Roman" w:hAnsi="Times New Roman"/>
          <w:b/>
          <w:i w:val="0"/>
          <w:sz w:val="20"/>
        </w:rPr>
        <w:t>II. DATA AND METHODOLOGY</w:t>
      </w:r>
    </w:p>
    <w:p>
      <w:pPr>
        <w:spacing w:before="0" w:after="80" w:line="240" w:lineRule="auto"/>
        <w:jc w:val="both"/>
      </w:pPr>
      <w:r>
        <w:rPr>
          <w:rFonts w:ascii="Times New Roman" w:hAnsi="Times New Roman"/>
          <w:b w:val="0"/>
          <w:i w:val="0"/>
          <w:sz w:val="20"/>
        </w:rPr>
        <w:t>The analysis uses the supplied APL_Logistics.csv data set [1]. Each record is treated as an order-line item. The source file was read with Latin-1 encoding, relevant numerical fields were standardized, and customer name, discount percentage, discount band, and profit margin were derived. Results were aggregated by market, customer segment, category, product, and discount band. The dashboard reports total revenue, total profit, profit margin, average discount, top and bottom customers, category-market profitability, and discount scenarios. No time-series analysis is presented because the supplied file has no order-date field.</w:t>
      </w:r>
    </w:p>
    <w:tbl>
      <w:tblPr>
        <w:tblStyle w:val="TableGrid"/>
        <w:tblW w:type="auto" w:w="0"/>
        <w:tblLayout w:type="fixed"/>
        <w:tblLook w:firstColumn="1" w:firstRow="1" w:lastColumn="0" w:lastRow="0" w:noHBand="0" w:noVBand="1" w:val="04A0"/>
      </w:tblPr>
      <w:tblGrid>
        <w:gridCol w:w="5040"/>
        <w:gridCol w:w="5040"/>
      </w:tblGrid>
      <w:tr>
        <w:tc>
          <w:tcPr>
            <w:tcW w:type="dxa" w:w="5040"/>
            <w:vAlign w:val="center"/>
            <w:shd w:fill="D9E2F3"/>
          </w:tcPr>
          <w:p>
            <w:pPr>
              <w:spacing w:after="20"/>
              <w:jc w:val="center"/>
            </w:pPr>
            <w:r>
              <w:rPr>
                <w:rFonts w:ascii="Times New Roman" w:hAnsi="Times New Roman"/>
                <w:b/>
                <w:i w:val="0"/>
                <w:sz w:val="16"/>
              </w:rPr>
              <w:t>Measure</w:t>
            </w:r>
          </w:p>
        </w:tc>
        <w:tc>
          <w:tcPr>
            <w:tcW w:type="dxa" w:w="5040"/>
            <w:vAlign w:val="center"/>
            <w:shd w:fill="D9E2F3"/>
          </w:tcPr>
          <w:p>
            <w:pPr>
              <w:spacing w:after="20"/>
              <w:jc w:val="center"/>
            </w:pPr>
            <w:r>
              <w:rPr>
                <w:rFonts w:ascii="Times New Roman" w:hAnsi="Times New Roman"/>
                <w:b/>
                <w:i w:val="0"/>
                <w:sz w:val="16"/>
              </w:rPr>
              <w:t>Value</w:t>
            </w:r>
          </w:p>
        </w:tc>
      </w:tr>
      <w:tr>
        <w:tc>
          <w:tcPr>
            <w:tcW w:type="dxa" w:w="5040"/>
            <w:vAlign w:val="center"/>
          </w:tcPr>
          <w:p>
            <w:pPr>
              <w:spacing w:after="20"/>
              <w:jc w:val="center"/>
            </w:pPr>
            <w:r>
              <w:rPr>
                <w:rFonts w:ascii="Times New Roman" w:hAnsi="Times New Roman"/>
                <w:b w:val="0"/>
                <w:i w:val="0"/>
                <w:sz w:val="16"/>
              </w:rPr>
              <w:t>Order-line records</w:t>
            </w:r>
          </w:p>
        </w:tc>
        <w:tc>
          <w:tcPr>
            <w:tcW w:type="dxa" w:w="5040"/>
            <w:vAlign w:val="center"/>
          </w:tcPr>
          <w:p>
            <w:pPr>
              <w:spacing w:after="20"/>
              <w:jc w:val="center"/>
            </w:pPr>
            <w:r>
              <w:rPr>
                <w:rFonts w:ascii="Times New Roman" w:hAnsi="Times New Roman"/>
                <w:b w:val="0"/>
                <w:i w:val="0"/>
                <w:sz w:val="16"/>
              </w:rPr>
              <w:t>180,519</w:t>
            </w:r>
          </w:p>
        </w:tc>
      </w:tr>
      <w:tr>
        <w:tc>
          <w:tcPr>
            <w:tcW w:type="dxa" w:w="5040"/>
            <w:vAlign w:val="center"/>
          </w:tcPr>
          <w:p>
            <w:pPr>
              <w:spacing w:after="20"/>
              <w:jc w:val="center"/>
            </w:pPr>
            <w:r>
              <w:rPr>
                <w:rFonts w:ascii="Times New Roman" w:hAnsi="Times New Roman"/>
                <w:b w:val="0"/>
                <w:i w:val="0"/>
                <w:sz w:val="16"/>
              </w:rPr>
              <w:t>Variables</w:t>
            </w:r>
          </w:p>
        </w:tc>
        <w:tc>
          <w:tcPr>
            <w:tcW w:type="dxa" w:w="5040"/>
            <w:vAlign w:val="center"/>
          </w:tcPr>
          <w:p>
            <w:pPr>
              <w:spacing w:after="20"/>
              <w:jc w:val="center"/>
            </w:pPr>
            <w:r>
              <w:rPr>
                <w:rFonts w:ascii="Times New Roman" w:hAnsi="Times New Roman"/>
                <w:b w:val="0"/>
                <w:i w:val="0"/>
                <w:sz w:val="16"/>
              </w:rPr>
              <w:t>41</w:t>
            </w:r>
          </w:p>
        </w:tc>
      </w:tr>
      <w:tr>
        <w:tc>
          <w:tcPr>
            <w:tcW w:type="dxa" w:w="5040"/>
            <w:vAlign w:val="center"/>
          </w:tcPr>
          <w:p>
            <w:pPr>
              <w:spacing w:after="20"/>
              <w:jc w:val="center"/>
            </w:pPr>
            <w:r>
              <w:rPr>
                <w:rFonts w:ascii="Times New Roman" w:hAnsi="Times New Roman"/>
                <w:b w:val="0"/>
                <w:i w:val="0"/>
                <w:sz w:val="16"/>
              </w:rPr>
              <w:t>Customers</w:t>
            </w:r>
          </w:p>
        </w:tc>
        <w:tc>
          <w:tcPr>
            <w:tcW w:type="dxa" w:w="5040"/>
            <w:vAlign w:val="center"/>
          </w:tcPr>
          <w:p>
            <w:pPr>
              <w:spacing w:after="20"/>
              <w:jc w:val="center"/>
            </w:pPr>
            <w:r>
              <w:rPr>
                <w:rFonts w:ascii="Times New Roman" w:hAnsi="Times New Roman"/>
                <w:b w:val="0"/>
                <w:i w:val="0"/>
                <w:sz w:val="16"/>
              </w:rPr>
              <w:t>20,652</w:t>
            </w:r>
          </w:p>
        </w:tc>
      </w:tr>
      <w:tr>
        <w:tc>
          <w:tcPr>
            <w:tcW w:type="dxa" w:w="5040"/>
            <w:vAlign w:val="center"/>
          </w:tcPr>
          <w:p>
            <w:pPr>
              <w:spacing w:after="20"/>
              <w:jc w:val="center"/>
            </w:pPr>
            <w:r>
              <w:rPr>
                <w:rFonts w:ascii="Times New Roman" w:hAnsi="Times New Roman"/>
                <w:b w:val="0"/>
                <w:i w:val="0"/>
                <w:sz w:val="16"/>
              </w:rPr>
              <w:t>Markets</w:t>
            </w:r>
          </w:p>
        </w:tc>
        <w:tc>
          <w:tcPr>
            <w:tcW w:type="dxa" w:w="5040"/>
            <w:vAlign w:val="center"/>
          </w:tcPr>
          <w:p>
            <w:pPr>
              <w:spacing w:after="20"/>
              <w:jc w:val="center"/>
            </w:pPr>
            <w:r>
              <w:rPr>
                <w:rFonts w:ascii="Times New Roman" w:hAnsi="Times New Roman"/>
                <w:b w:val="0"/>
                <w:i w:val="0"/>
                <w:sz w:val="16"/>
              </w:rPr>
              <w:t>5</w:t>
            </w:r>
          </w:p>
        </w:tc>
      </w:tr>
      <w:tr>
        <w:tc>
          <w:tcPr>
            <w:tcW w:type="dxa" w:w="5040"/>
            <w:vAlign w:val="center"/>
          </w:tcPr>
          <w:p>
            <w:pPr>
              <w:spacing w:after="20"/>
              <w:jc w:val="center"/>
            </w:pPr>
            <w:r>
              <w:rPr>
                <w:rFonts w:ascii="Times New Roman" w:hAnsi="Times New Roman"/>
                <w:b w:val="0"/>
                <w:i w:val="0"/>
                <w:sz w:val="16"/>
              </w:rPr>
              <w:t>Product categories</w:t>
            </w:r>
          </w:p>
        </w:tc>
        <w:tc>
          <w:tcPr>
            <w:tcW w:type="dxa" w:w="5040"/>
            <w:vAlign w:val="center"/>
          </w:tcPr>
          <w:p>
            <w:pPr>
              <w:spacing w:after="20"/>
              <w:jc w:val="center"/>
            </w:pPr>
            <w:r>
              <w:rPr>
                <w:rFonts w:ascii="Times New Roman" w:hAnsi="Times New Roman"/>
                <w:b w:val="0"/>
                <w:i w:val="0"/>
                <w:sz w:val="16"/>
              </w:rPr>
              <w:t>50</w:t>
            </w:r>
          </w:p>
        </w:tc>
      </w:tr>
      <w:tr>
        <w:tc>
          <w:tcPr>
            <w:tcW w:type="dxa" w:w="5040"/>
            <w:vAlign w:val="center"/>
          </w:tcPr>
          <w:p>
            <w:pPr>
              <w:spacing w:after="20"/>
              <w:jc w:val="center"/>
            </w:pPr>
            <w:r>
              <w:rPr>
                <w:rFonts w:ascii="Times New Roman" w:hAnsi="Times New Roman"/>
                <w:b w:val="0"/>
                <w:i w:val="0"/>
                <w:sz w:val="16"/>
              </w:rPr>
              <w:t>Total sales</w:t>
            </w:r>
          </w:p>
        </w:tc>
        <w:tc>
          <w:tcPr>
            <w:tcW w:type="dxa" w:w="5040"/>
            <w:vAlign w:val="center"/>
          </w:tcPr>
          <w:p>
            <w:pPr>
              <w:spacing w:after="20"/>
              <w:jc w:val="center"/>
            </w:pPr>
            <w:r>
              <w:rPr>
                <w:rFonts w:ascii="Times New Roman" w:hAnsi="Times New Roman"/>
                <w:b w:val="0"/>
                <w:i w:val="0"/>
                <w:sz w:val="16"/>
              </w:rPr>
              <w:t>$36.78M</w:t>
            </w:r>
          </w:p>
        </w:tc>
      </w:tr>
      <w:tr>
        <w:tc>
          <w:tcPr>
            <w:tcW w:type="dxa" w:w="5040"/>
            <w:vAlign w:val="center"/>
          </w:tcPr>
          <w:p>
            <w:pPr>
              <w:spacing w:after="20"/>
              <w:jc w:val="center"/>
            </w:pPr>
            <w:r>
              <w:rPr>
                <w:rFonts w:ascii="Times New Roman" w:hAnsi="Times New Roman"/>
                <w:b w:val="0"/>
                <w:i w:val="0"/>
                <w:sz w:val="16"/>
              </w:rPr>
              <w:t>Total profit</w:t>
            </w:r>
          </w:p>
        </w:tc>
        <w:tc>
          <w:tcPr>
            <w:tcW w:type="dxa" w:w="5040"/>
            <w:vAlign w:val="center"/>
          </w:tcPr>
          <w:p>
            <w:pPr>
              <w:spacing w:after="20"/>
              <w:jc w:val="center"/>
            </w:pPr>
            <w:r>
              <w:rPr>
                <w:rFonts w:ascii="Times New Roman" w:hAnsi="Times New Roman"/>
                <w:b w:val="0"/>
                <w:i w:val="0"/>
                <w:sz w:val="16"/>
              </w:rPr>
              <w:t>$3.97M</w:t>
            </w:r>
          </w:p>
        </w:tc>
      </w:tr>
      <w:tr>
        <w:tc>
          <w:tcPr>
            <w:tcW w:type="dxa" w:w="5040"/>
            <w:vAlign w:val="center"/>
          </w:tcPr>
          <w:p>
            <w:pPr>
              <w:spacing w:after="20"/>
              <w:jc w:val="center"/>
            </w:pPr>
            <w:r>
              <w:rPr>
                <w:rFonts w:ascii="Times New Roman" w:hAnsi="Times New Roman"/>
                <w:b w:val="0"/>
                <w:i w:val="0"/>
                <w:sz w:val="16"/>
              </w:rPr>
              <w:t>Profit margin</w:t>
            </w:r>
          </w:p>
        </w:tc>
        <w:tc>
          <w:tcPr>
            <w:tcW w:type="dxa" w:w="5040"/>
            <w:vAlign w:val="center"/>
          </w:tcPr>
          <w:p>
            <w:pPr>
              <w:spacing w:after="20"/>
              <w:jc w:val="center"/>
            </w:pPr>
            <w:r>
              <w:rPr>
                <w:rFonts w:ascii="Times New Roman" w:hAnsi="Times New Roman"/>
                <w:b w:val="0"/>
                <w:i w:val="0"/>
                <w:sz w:val="16"/>
              </w:rPr>
              <w:t>10.8%</w:t>
            </w:r>
          </w:p>
        </w:tc>
      </w:tr>
    </w:tbl>
    <w:p>
      <w:pPr>
        <w:spacing w:before="20" w:after="80"/>
        <w:jc w:val="center"/>
      </w:pPr>
      <w:r>
        <w:rPr>
          <w:rFonts w:ascii="Times New Roman" w:hAnsi="Times New Roman"/>
          <w:b w:val="0"/>
          <w:i w:val="0"/>
          <w:sz w:val="16"/>
        </w:rPr>
        <w:t>TABLE I</w:t>
        <w:br/>
        <w:t>DATASET PROFILE AND BASELINE RESULTS</w:t>
      </w:r>
    </w:p>
    <w:p>
      <w:pPr>
        <w:keepNext/>
        <w:spacing w:before="160" w:after="80"/>
        <w:jc w:val="center"/>
      </w:pPr>
      <w:r>
        <w:rPr>
          <w:rFonts w:ascii="Times New Roman" w:hAnsi="Times New Roman"/>
          <w:b/>
          <w:i w:val="0"/>
          <w:sz w:val="20"/>
        </w:rPr>
        <w:t>III. EXPLORATORY DATA ANALYSIS</w:t>
      </w:r>
    </w:p>
    <w:p>
      <w:pPr>
        <w:spacing w:before="40" w:after="40" w:line="240" w:lineRule="auto"/>
        <w:jc w:val="left"/>
      </w:pPr>
      <w:r>
        <w:rPr>
          <w:rFonts w:ascii="Times New Roman" w:hAnsi="Times New Roman"/>
          <w:b w:val="0"/>
          <w:i w:val="0"/>
          <w:sz w:val="20"/>
        </w:rPr>
        <w:t>A. Market Performance</w:t>
      </w:r>
    </w:p>
    <w:p>
      <w:r>
        <w:drawing>
          <wp:inline xmlns:a="http://schemas.openxmlformats.org/drawingml/2006/main" xmlns:pic="http://schemas.openxmlformats.org/drawingml/2006/picture">
            <wp:extent cx="2907792" cy="1430818"/>
            <wp:docPr id="1" name="Picture 1"/>
            <wp:cNvGraphicFramePr>
              <a:graphicFrameLocks noChangeAspect="1"/>
            </wp:cNvGraphicFramePr>
            <a:graphic>
              <a:graphicData uri="http://schemas.openxmlformats.org/drawingml/2006/picture">
                <pic:pic>
                  <pic:nvPicPr>
                    <pic:cNvPr id="0" name="market_profit.png"/>
                    <pic:cNvPicPr/>
                  </pic:nvPicPr>
                  <pic:blipFill>
                    <a:blip r:embed="rId9"/>
                    <a:stretch>
                      <a:fillRect/>
                    </a:stretch>
                  </pic:blipFill>
                  <pic:spPr>
                    <a:xfrm>
                      <a:off x="0" y="0"/>
                      <a:ext cx="2907792" cy="1430818"/>
                    </a:xfrm>
                    <a:prstGeom prst="rect"/>
                  </pic:spPr>
                </pic:pic>
              </a:graphicData>
            </a:graphic>
          </wp:inline>
        </w:drawing>
      </w:r>
    </w:p>
    <w:p>
      <w:pPr>
        <w:spacing w:before="20" w:after="80"/>
        <w:jc w:val="center"/>
      </w:pPr>
      <w:r>
        <w:rPr>
          <w:rFonts w:ascii="Times New Roman" w:hAnsi="Times New Roman"/>
          <w:b w:val="0"/>
          <w:i w:val="0"/>
          <w:sz w:val="16"/>
        </w:rPr>
        <w:t>Fig. 1. Profit by market.</w:t>
      </w:r>
    </w:p>
    <w:p>
      <w:pPr>
        <w:spacing w:before="0" w:after="80" w:line="240" w:lineRule="auto"/>
        <w:jc w:val="both"/>
      </w:pPr>
      <w:r>
        <w:rPr>
          <w:rFonts w:ascii="Times New Roman" w:hAnsi="Times New Roman"/>
          <w:b w:val="0"/>
          <w:i w:val="0"/>
          <w:sz w:val="20"/>
        </w:rPr>
        <w:t>Europe generated the highest total profit at $1.17M, followed by LATAM at $1.12M. These markets account for a substantial share of sales and profit. Their performance should be protected while managers examine whether successful pricing, product, and customer practices can be adapted in smaller markets.</w:t>
      </w:r>
    </w:p>
    <w:p>
      <w:pPr>
        <w:spacing w:before="40" w:after="40" w:line="240" w:lineRule="auto"/>
        <w:jc w:val="left"/>
      </w:pPr>
      <w:r>
        <w:rPr>
          <w:rFonts w:ascii="Times New Roman" w:hAnsi="Times New Roman"/>
          <w:b w:val="0"/>
          <w:i w:val="0"/>
          <w:sz w:val="20"/>
        </w:rPr>
        <w:t>B. Customer Value</w:t>
      </w:r>
    </w:p>
    <w:p>
      <w:r>
        <w:drawing>
          <wp:inline xmlns:a="http://schemas.openxmlformats.org/drawingml/2006/main" xmlns:pic="http://schemas.openxmlformats.org/drawingml/2006/picture">
            <wp:extent cx="2907792" cy="1430818"/>
            <wp:docPr id="2" name="Picture 2"/>
            <wp:cNvGraphicFramePr>
              <a:graphicFrameLocks noChangeAspect="1"/>
            </wp:cNvGraphicFramePr>
            <a:graphic>
              <a:graphicData uri="http://schemas.openxmlformats.org/drawingml/2006/picture">
                <pic:pic>
                  <pic:nvPicPr>
                    <pic:cNvPr id="0" name="segment_profit.png"/>
                    <pic:cNvPicPr/>
                  </pic:nvPicPr>
                  <pic:blipFill>
                    <a:blip r:embed="rId10"/>
                    <a:stretch>
                      <a:fillRect/>
                    </a:stretch>
                  </pic:blipFill>
                  <pic:spPr>
                    <a:xfrm>
                      <a:off x="0" y="0"/>
                      <a:ext cx="2907792" cy="1430818"/>
                    </a:xfrm>
                    <a:prstGeom prst="rect"/>
                  </pic:spPr>
                </pic:pic>
              </a:graphicData>
            </a:graphic>
          </wp:inline>
        </w:drawing>
      </w:r>
    </w:p>
    <w:p>
      <w:pPr>
        <w:spacing w:before="20" w:after="80"/>
        <w:jc w:val="center"/>
      </w:pPr>
      <w:r>
        <w:rPr>
          <w:rFonts w:ascii="Times New Roman" w:hAnsi="Times New Roman"/>
          <w:b w:val="0"/>
          <w:i w:val="0"/>
          <w:sz w:val="16"/>
        </w:rPr>
        <w:t>Fig. 2. Profit by customer segment.</w:t>
      </w:r>
    </w:p>
    <w:p>
      <w:pPr>
        <w:spacing w:before="0" w:after="80" w:line="240" w:lineRule="auto"/>
        <w:jc w:val="both"/>
      </w:pPr>
      <w:r>
        <w:rPr>
          <w:rFonts w:ascii="Times New Roman" w:hAnsi="Times New Roman"/>
          <w:b w:val="0"/>
          <w:i w:val="0"/>
          <w:sz w:val="20"/>
        </w:rPr>
        <w:t>Customer segments differ in aggregate contribution. Consumer customers generated the highest segment-level profit, while Home Office generated the lowest. The dashboard supplements this view with top and bottom customer charts and an attention table for customers with above-median revenue but margins below 10%. These measures support targeted account, retention, and pricing decisions.</w:t>
      </w:r>
    </w:p>
    <w:p>
      <w:pPr>
        <w:spacing w:before="40" w:after="40" w:line="240" w:lineRule="auto"/>
        <w:jc w:val="left"/>
      </w:pPr>
      <w:r>
        <w:rPr>
          <w:rFonts w:ascii="Times New Roman" w:hAnsi="Times New Roman"/>
          <w:b w:val="0"/>
          <w:i w:val="0"/>
          <w:sz w:val="20"/>
        </w:rPr>
        <w:t>C. Discount and Margin Relationship</w:t>
      </w:r>
    </w:p>
    <w:p>
      <w:r>
        <w:drawing>
          <wp:inline xmlns:a="http://schemas.openxmlformats.org/drawingml/2006/main" xmlns:pic="http://schemas.openxmlformats.org/drawingml/2006/picture">
            <wp:extent cx="2907792" cy="1430818"/>
            <wp:docPr id="3" name="Picture 3"/>
            <wp:cNvGraphicFramePr>
              <a:graphicFrameLocks noChangeAspect="1"/>
            </wp:cNvGraphicFramePr>
            <a:graphic>
              <a:graphicData uri="http://schemas.openxmlformats.org/drawingml/2006/picture">
                <pic:pic>
                  <pic:nvPicPr>
                    <pic:cNvPr id="0" name="discount_margin.png"/>
                    <pic:cNvPicPr/>
                  </pic:nvPicPr>
                  <pic:blipFill>
                    <a:blip r:embed="rId11"/>
                    <a:stretch>
                      <a:fillRect/>
                    </a:stretch>
                  </pic:blipFill>
                  <pic:spPr>
                    <a:xfrm>
                      <a:off x="0" y="0"/>
                      <a:ext cx="2907792" cy="1430818"/>
                    </a:xfrm>
                    <a:prstGeom prst="rect"/>
                  </pic:spPr>
                </pic:pic>
              </a:graphicData>
            </a:graphic>
          </wp:inline>
        </w:drawing>
      </w:r>
    </w:p>
    <w:p>
      <w:pPr>
        <w:spacing w:before="20" w:after="80"/>
        <w:jc w:val="center"/>
      </w:pPr>
      <w:r>
        <w:rPr>
          <w:rFonts w:ascii="Times New Roman" w:hAnsi="Times New Roman"/>
          <w:b w:val="0"/>
          <w:i w:val="0"/>
          <w:sz w:val="16"/>
        </w:rPr>
        <w:t>Fig. 3. Profit margin by discount band.</w:t>
      </w:r>
    </w:p>
    <w:p>
      <w:pPr>
        <w:spacing w:before="0" w:after="80" w:line="240" w:lineRule="auto"/>
        <w:jc w:val="both"/>
      </w:pPr>
      <w:r>
        <w:rPr>
          <w:rFonts w:ascii="Times New Roman" w:hAnsi="Times New Roman"/>
          <w:b w:val="0"/>
          <w:i w:val="0"/>
          <w:sz w:val="20"/>
        </w:rPr>
        <w:t>The average order-item discount is 10.2%. The no-discount band has the strongest aggregate margin, whereas the greater-than-20-percent band has the weakest. The dashboard exposes discount rate and profitability together and includes a what-if calculator that estimates the financial effect of a proposed uniform discount, holding observed per-line cost constant.</w:t>
      </w:r>
    </w:p>
    <w:p>
      <w:pPr>
        <w:spacing w:before="40" w:after="40" w:line="240" w:lineRule="auto"/>
        <w:jc w:val="left"/>
      </w:pPr>
      <w:r>
        <w:rPr>
          <w:rFonts w:ascii="Times New Roman" w:hAnsi="Times New Roman"/>
          <w:b w:val="0"/>
          <w:i w:val="0"/>
          <w:sz w:val="20"/>
        </w:rPr>
        <w:t>D. Product and Category Performance</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vAlign w:val="center"/>
            <w:shd w:fill="D9E2F3"/>
          </w:tcPr>
          <w:p>
            <w:pPr>
              <w:spacing w:after="20"/>
              <w:jc w:val="center"/>
            </w:pPr>
            <w:r>
              <w:rPr>
                <w:rFonts w:ascii="Times New Roman" w:hAnsi="Times New Roman"/>
                <w:b/>
                <w:i w:val="0"/>
                <w:sz w:val="16"/>
              </w:rPr>
              <w:t>Category</w:t>
            </w:r>
          </w:p>
        </w:tc>
        <w:tc>
          <w:tcPr>
            <w:tcW w:type="dxa" w:w="3360"/>
            <w:vAlign w:val="center"/>
            <w:shd w:fill="D9E2F3"/>
          </w:tcPr>
          <w:p>
            <w:pPr>
              <w:spacing w:after="20"/>
              <w:jc w:val="center"/>
            </w:pPr>
            <w:r>
              <w:rPr>
                <w:rFonts w:ascii="Times New Roman" w:hAnsi="Times New Roman"/>
                <w:b/>
                <w:i w:val="0"/>
                <w:sz w:val="16"/>
              </w:rPr>
              <w:t>Sales</w:t>
            </w:r>
          </w:p>
        </w:tc>
        <w:tc>
          <w:tcPr>
            <w:tcW w:type="dxa" w:w="3360"/>
            <w:vAlign w:val="center"/>
            <w:shd w:fill="D9E2F3"/>
          </w:tcPr>
          <w:p>
            <w:pPr>
              <w:spacing w:after="20"/>
              <w:jc w:val="center"/>
            </w:pPr>
            <w:r>
              <w:rPr>
                <w:rFonts w:ascii="Times New Roman" w:hAnsi="Times New Roman"/>
                <w:b/>
                <w:i w:val="0"/>
                <w:sz w:val="16"/>
              </w:rPr>
              <w:t>Profit</w:t>
            </w:r>
          </w:p>
        </w:tc>
      </w:tr>
      <w:tr>
        <w:tc>
          <w:tcPr>
            <w:tcW w:type="dxa" w:w="3360"/>
            <w:vAlign w:val="center"/>
          </w:tcPr>
          <w:p>
            <w:pPr>
              <w:spacing w:after="20"/>
              <w:jc w:val="center"/>
            </w:pPr>
            <w:r>
              <w:rPr>
                <w:rFonts w:ascii="Times New Roman" w:hAnsi="Times New Roman"/>
                <w:b w:val="0"/>
                <w:i w:val="0"/>
                <w:sz w:val="16"/>
              </w:rPr>
              <w:t>Fishing</w:t>
            </w:r>
          </w:p>
        </w:tc>
        <w:tc>
          <w:tcPr>
            <w:tcW w:type="dxa" w:w="3360"/>
            <w:vAlign w:val="center"/>
          </w:tcPr>
          <w:p>
            <w:pPr>
              <w:spacing w:after="20"/>
              <w:jc w:val="center"/>
            </w:pPr>
            <w:r>
              <w:rPr>
                <w:rFonts w:ascii="Times New Roman" w:hAnsi="Times New Roman"/>
                <w:b w:val="0"/>
                <w:i w:val="0"/>
                <w:sz w:val="16"/>
              </w:rPr>
              <w:t>$6.93M</w:t>
            </w:r>
          </w:p>
        </w:tc>
        <w:tc>
          <w:tcPr>
            <w:tcW w:type="dxa" w:w="3360"/>
            <w:vAlign w:val="center"/>
          </w:tcPr>
          <w:p>
            <w:pPr>
              <w:spacing w:after="20"/>
              <w:jc w:val="center"/>
            </w:pPr>
            <w:r>
              <w:rPr>
                <w:rFonts w:ascii="Times New Roman" w:hAnsi="Times New Roman"/>
                <w:b w:val="0"/>
                <w:i w:val="0"/>
                <w:sz w:val="16"/>
              </w:rPr>
              <w:t>$0.76M</w:t>
            </w:r>
          </w:p>
        </w:tc>
      </w:tr>
      <w:tr>
        <w:tc>
          <w:tcPr>
            <w:tcW w:type="dxa" w:w="3360"/>
            <w:vAlign w:val="center"/>
          </w:tcPr>
          <w:p>
            <w:pPr>
              <w:spacing w:after="20"/>
              <w:jc w:val="center"/>
            </w:pPr>
            <w:r>
              <w:rPr>
                <w:rFonts w:ascii="Times New Roman" w:hAnsi="Times New Roman"/>
                <w:b w:val="0"/>
                <w:i w:val="0"/>
                <w:sz w:val="16"/>
              </w:rPr>
              <w:t>Cleats</w:t>
            </w:r>
          </w:p>
        </w:tc>
        <w:tc>
          <w:tcPr>
            <w:tcW w:type="dxa" w:w="3360"/>
            <w:vAlign w:val="center"/>
          </w:tcPr>
          <w:p>
            <w:pPr>
              <w:spacing w:after="20"/>
              <w:jc w:val="center"/>
            </w:pPr>
            <w:r>
              <w:rPr>
                <w:rFonts w:ascii="Times New Roman" w:hAnsi="Times New Roman"/>
                <w:b w:val="0"/>
                <w:i w:val="0"/>
                <w:sz w:val="16"/>
              </w:rPr>
              <w:t>$4.43M</w:t>
            </w:r>
          </w:p>
        </w:tc>
        <w:tc>
          <w:tcPr>
            <w:tcW w:type="dxa" w:w="3360"/>
            <w:vAlign w:val="center"/>
          </w:tcPr>
          <w:p>
            <w:pPr>
              <w:spacing w:after="20"/>
              <w:jc w:val="center"/>
            </w:pPr>
            <w:r>
              <w:rPr>
                <w:rFonts w:ascii="Times New Roman" w:hAnsi="Times New Roman"/>
                <w:b w:val="0"/>
                <w:i w:val="0"/>
                <w:sz w:val="16"/>
              </w:rPr>
              <w:t>$0.49M</w:t>
            </w:r>
          </w:p>
        </w:tc>
      </w:tr>
      <w:tr>
        <w:tc>
          <w:tcPr>
            <w:tcW w:type="dxa" w:w="3360"/>
            <w:vAlign w:val="center"/>
          </w:tcPr>
          <w:p>
            <w:pPr>
              <w:spacing w:after="20"/>
              <w:jc w:val="center"/>
            </w:pPr>
            <w:r>
              <w:rPr>
                <w:rFonts w:ascii="Times New Roman" w:hAnsi="Times New Roman"/>
                <w:b w:val="0"/>
                <w:i w:val="0"/>
                <w:sz w:val="16"/>
              </w:rPr>
              <w:t>Camping &amp; Hiking</w:t>
            </w:r>
          </w:p>
        </w:tc>
        <w:tc>
          <w:tcPr>
            <w:tcW w:type="dxa" w:w="3360"/>
            <w:vAlign w:val="center"/>
          </w:tcPr>
          <w:p>
            <w:pPr>
              <w:spacing w:after="20"/>
              <w:jc w:val="center"/>
            </w:pPr>
            <w:r>
              <w:rPr>
                <w:rFonts w:ascii="Times New Roman" w:hAnsi="Times New Roman"/>
                <w:b w:val="0"/>
                <w:i w:val="0"/>
                <w:sz w:val="16"/>
              </w:rPr>
              <w:t>$4.12M</w:t>
            </w:r>
          </w:p>
        </w:tc>
        <w:tc>
          <w:tcPr>
            <w:tcW w:type="dxa" w:w="3360"/>
            <w:vAlign w:val="center"/>
          </w:tcPr>
          <w:p>
            <w:pPr>
              <w:spacing w:after="20"/>
              <w:jc w:val="center"/>
            </w:pPr>
            <w:r>
              <w:rPr>
                <w:rFonts w:ascii="Times New Roman" w:hAnsi="Times New Roman"/>
                <w:b w:val="0"/>
                <w:i w:val="0"/>
                <w:sz w:val="16"/>
              </w:rPr>
              <w:t>$0.43M</w:t>
            </w:r>
          </w:p>
        </w:tc>
      </w:tr>
      <w:tr>
        <w:tc>
          <w:tcPr>
            <w:tcW w:type="dxa" w:w="3360"/>
            <w:vAlign w:val="center"/>
          </w:tcPr>
          <w:p>
            <w:pPr>
              <w:spacing w:after="20"/>
              <w:jc w:val="center"/>
            </w:pPr>
            <w:r>
              <w:rPr>
                <w:rFonts w:ascii="Times New Roman" w:hAnsi="Times New Roman"/>
                <w:b w:val="0"/>
                <w:i w:val="0"/>
                <w:sz w:val="16"/>
              </w:rPr>
              <w:t>Cardio Equipment</w:t>
            </w:r>
          </w:p>
        </w:tc>
        <w:tc>
          <w:tcPr>
            <w:tcW w:type="dxa" w:w="3360"/>
            <w:vAlign w:val="center"/>
          </w:tcPr>
          <w:p>
            <w:pPr>
              <w:spacing w:after="20"/>
              <w:jc w:val="center"/>
            </w:pPr>
            <w:r>
              <w:rPr>
                <w:rFonts w:ascii="Times New Roman" w:hAnsi="Times New Roman"/>
                <w:b w:val="0"/>
                <w:i w:val="0"/>
                <w:sz w:val="16"/>
              </w:rPr>
              <w:t>$3.69M</w:t>
            </w:r>
          </w:p>
        </w:tc>
        <w:tc>
          <w:tcPr>
            <w:tcW w:type="dxa" w:w="3360"/>
            <w:vAlign w:val="center"/>
          </w:tcPr>
          <w:p>
            <w:pPr>
              <w:spacing w:after="20"/>
              <w:jc w:val="center"/>
            </w:pPr>
            <w:r>
              <w:rPr>
                <w:rFonts w:ascii="Times New Roman" w:hAnsi="Times New Roman"/>
                <w:b w:val="0"/>
                <w:i w:val="0"/>
                <w:sz w:val="16"/>
              </w:rPr>
              <w:t>$0.38M</w:t>
            </w:r>
          </w:p>
        </w:tc>
      </w:tr>
      <w:tr>
        <w:tc>
          <w:tcPr>
            <w:tcW w:type="dxa" w:w="3360"/>
            <w:vAlign w:val="center"/>
          </w:tcPr>
          <w:p>
            <w:pPr>
              <w:spacing w:after="20"/>
              <w:jc w:val="center"/>
            </w:pPr>
            <w:r>
              <w:rPr>
                <w:rFonts w:ascii="Times New Roman" w:hAnsi="Times New Roman"/>
                <w:b w:val="0"/>
                <w:i w:val="0"/>
                <w:sz w:val="16"/>
              </w:rPr>
              <w:t>Women's Apparel</w:t>
            </w:r>
          </w:p>
        </w:tc>
        <w:tc>
          <w:tcPr>
            <w:tcW w:type="dxa" w:w="3360"/>
            <w:vAlign w:val="center"/>
          </w:tcPr>
          <w:p>
            <w:pPr>
              <w:spacing w:after="20"/>
              <w:jc w:val="center"/>
            </w:pPr>
            <w:r>
              <w:rPr>
                <w:rFonts w:ascii="Times New Roman" w:hAnsi="Times New Roman"/>
                <w:b w:val="0"/>
                <w:i w:val="0"/>
                <w:sz w:val="16"/>
              </w:rPr>
              <w:t>$3.15M</w:t>
            </w:r>
          </w:p>
        </w:tc>
        <w:tc>
          <w:tcPr>
            <w:tcW w:type="dxa" w:w="3360"/>
            <w:vAlign w:val="center"/>
          </w:tcPr>
          <w:p>
            <w:pPr>
              <w:spacing w:after="20"/>
              <w:jc w:val="center"/>
            </w:pPr>
            <w:r>
              <w:rPr>
                <w:rFonts w:ascii="Times New Roman" w:hAnsi="Times New Roman"/>
                <w:b w:val="0"/>
                <w:i w:val="0"/>
                <w:sz w:val="16"/>
              </w:rPr>
              <w:t>$0.35M</w:t>
            </w:r>
          </w:p>
        </w:tc>
      </w:tr>
    </w:tbl>
    <w:p>
      <w:pPr>
        <w:spacing w:before="20" w:after="80"/>
        <w:jc w:val="center"/>
      </w:pPr>
      <w:r>
        <w:rPr>
          <w:rFonts w:ascii="Times New Roman" w:hAnsi="Times New Roman"/>
          <w:b w:val="0"/>
          <w:i w:val="0"/>
          <w:sz w:val="16"/>
        </w:rPr>
        <w:t>TABLE II</w:t>
        <w:br/>
        <w:t>HIGHEST PROFIT PRODUCT CATEGORIES</w:t>
      </w:r>
    </w:p>
    <w:p>
      <w:pPr>
        <w:spacing w:before="0" w:after="80" w:line="240" w:lineRule="auto"/>
        <w:jc w:val="both"/>
      </w:pPr>
      <w:r>
        <w:rPr>
          <w:rFonts w:ascii="Times New Roman" w:hAnsi="Times New Roman"/>
          <w:b w:val="0"/>
          <w:i w:val="0"/>
          <w:sz w:val="20"/>
        </w:rPr>
        <w:t>Fishing is the largest profit contributor, followed by Cleats and Camping &amp; Hiking. These categories should receive disciplined pricing, promotion, and availability monitoring. Lower-margin products can be identified through the product-level margin analysis before additional promotions are approved.</w:t>
      </w:r>
    </w:p>
    <w:p>
      <w:pPr>
        <w:keepNext/>
        <w:spacing w:before="160" w:after="80"/>
        <w:jc w:val="center"/>
      </w:pPr>
      <w:r>
        <w:rPr>
          <w:rFonts w:ascii="Times New Roman" w:hAnsi="Times New Roman"/>
          <w:b/>
          <w:i w:val="0"/>
          <w:sz w:val="20"/>
        </w:rPr>
        <w:t>IV. RECOMMENDATIONS</w:t>
      </w:r>
    </w:p>
    <w:p>
      <w:pPr>
        <w:spacing w:before="0" w:after="80" w:line="240" w:lineRule="auto"/>
        <w:jc w:val="both"/>
      </w:pPr>
      <w:r>
        <w:rPr>
          <w:rFonts w:ascii="Times New Roman" w:hAnsi="Times New Roman"/>
          <w:b w:val="0"/>
          <w:i w:val="0"/>
          <w:sz w:val="20"/>
        </w:rPr>
        <w:t>First, establish category- and customer-segment-specific discount thresholds, require approval for high discounts, and review margin weekly. Second, group customers into value tiers using total profit, profit margin, and line-item volume, then adapt pricing and account-management actions by tier. Third, protect the availability and promotion discipline of high-value categories and markets. Finally, use the dashboard in a recurring management review that assigns ownership for adverse movements in profit, margin, discount, customer value, or category-market performance.</w:t>
      </w:r>
    </w:p>
    <w:p>
      <w:pPr>
        <w:keepNext/>
        <w:spacing w:before="160" w:after="80"/>
        <w:jc w:val="center"/>
      </w:pPr>
      <w:r>
        <w:rPr>
          <w:rFonts w:ascii="Times New Roman" w:hAnsi="Times New Roman"/>
          <w:b/>
          <w:i w:val="0"/>
          <w:sz w:val="20"/>
        </w:rPr>
        <w:t>V. STAKEHOLDER IMPLICATIONS</w:t>
      </w:r>
    </w:p>
    <w:p>
      <w:pPr>
        <w:spacing w:before="0" w:after="80" w:line="240" w:lineRule="auto"/>
        <w:jc w:val="both"/>
      </w:pPr>
      <w:r>
        <w:rPr>
          <w:rFonts w:ascii="Times New Roman" w:hAnsi="Times New Roman"/>
          <w:b w:val="0"/>
          <w:i w:val="0"/>
          <w:sz w:val="20"/>
        </w:rPr>
        <w:t>For government and public-sector stakeholders, this dashboard demonstrates how commercial data can support transparent, margin-aware oversight. The operation covers more than 180,000 order lines and $36M in sales. Aggregated customer, category, product, market, and discount views can help frame questions about regional competitiveness, economic activity, and service strategy. These descriptive results should be combined with operational and qualitative evidence before decisions about any specific region or organization are made.</w:t>
      </w:r>
    </w:p>
    <w:p>
      <w:pPr>
        <w:keepNext/>
        <w:spacing w:before="160" w:after="80"/>
        <w:jc w:val="center"/>
      </w:pPr>
      <w:r>
        <w:rPr>
          <w:rFonts w:ascii="Times New Roman" w:hAnsi="Times New Roman"/>
          <w:b/>
          <w:i w:val="0"/>
          <w:sz w:val="20"/>
        </w:rPr>
        <w:t>VI. LIMITATIONS AND FUTURE WORK</w:t>
      </w:r>
    </w:p>
    <w:p>
      <w:pPr>
        <w:spacing w:before="0" w:after="80" w:line="240" w:lineRule="auto"/>
        <w:jc w:val="both"/>
      </w:pPr>
      <w:r>
        <w:rPr>
          <w:rFonts w:ascii="Times New Roman" w:hAnsi="Times New Roman"/>
          <w:b w:val="0"/>
          <w:i w:val="0"/>
          <w:sz w:val="20"/>
        </w:rPr>
        <w:t>The analysis is descriptive and uses a single supplied data set. The lack of order dates prevents seasonal, longitudinal, and forecasting analysis. Future work should add time stamps, fulfilment cost, customer satisfaction, return data, and campaign information. These additions would support forecasting, customer-lifetime analysis, promotion measurement, and more robust predictive or causal studies.</w:t>
      </w:r>
    </w:p>
    <w:p>
      <w:pPr>
        <w:keepNext/>
        <w:spacing w:before="160" w:after="80"/>
        <w:jc w:val="center"/>
      </w:pPr>
      <w:r>
        <w:rPr>
          <w:rFonts w:ascii="Times New Roman" w:hAnsi="Times New Roman"/>
          <w:b/>
          <w:i w:val="0"/>
          <w:sz w:val="20"/>
        </w:rPr>
        <w:t>VII. CONCLUSION</w:t>
      </w:r>
    </w:p>
    <w:p>
      <w:pPr>
        <w:spacing w:before="0" w:after="80" w:line="240" w:lineRule="auto"/>
        <w:jc w:val="both"/>
      </w:pPr>
      <w:r>
        <w:rPr>
          <w:rFonts w:ascii="Times New Roman" w:hAnsi="Times New Roman"/>
          <w:b w:val="0"/>
          <w:i w:val="0"/>
          <w:sz w:val="20"/>
        </w:rPr>
        <w:t>The APL Logistics dashboard converts 180,519 order-line records into a practical decision-support tool. The EDA identifies $36.78M in sales, $3.97M in profit, a 10.8% margin, value concentration in Europe and LATAM, customer-segment differences, and margin pressure associated with deeper discounts. The most immediate actions are to strengthen discount governance, use customer-value tiers, protect high-value categories, and embed profitability review in management routines.</w:t>
      </w:r>
    </w:p>
    <w:p>
      <w:pPr>
        <w:keepNext/>
        <w:spacing w:before="160" w:after="80"/>
        <w:jc w:val="center"/>
      </w:pPr>
      <w:r>
        <w:rPr>
          <w:rFonts w:ascii="Times New Roman" w:hAnsi="Times New Roman"/>
          <w:b/>
          <w:i w:val="0"/>
          <w:sz w:val="20"/>
        </w:rPr>
        <w:t>REFERENCES</w:t>
      </w:r>
    </w:p>
    <w:p>
      <w:pPr>
        <w:spacing w:before="0" w:after="40" w:line="240" w:lineRule="auto"/>
        <w:ind w:left="216" w:hanging="216"/>
        <w:jc w:val="left"/>
      </w:pPr>
      <w:r>
        <w:rPr>
          <w:rFonts w:ascii="Times New Roman" w:hAnsi="Times New Roman"/>
          <w:b w:val="0"/>
          <w:i w:val="0"/>
          <w:sz w:val="16"/>
        </w:rPr>
        <w:t>[1] APL Logistics, "APL_Logistics.csv," data set supplied for the Supply Chain Analytics Project, 2026.</w:t>
      </w:r>
    </w:p>
    <w:p>
      <w:pPr>
        <w:spacing w:before="0" w:after="40" w:line="240" w:lineRule="auto"/>
        <w:ind w:left="216" w:hanging="216"/>
        <w:jc w:val="left"/>
      </w:pPr>
      <w:r>
        <w:rPr>
          <w:rFonts w:ascii="Times New Roman" w:hAnsi="Times New Roman"/>
          <w:b w:val="0"/>
          <w:i w:val="0"/>
          <w:sz w:val="16"/>
        </w:rPr>
        <w:t>[2] W. McKinney, "pandas: powerful Python data analysis toolkit." [Online]. Available: https://pandas.pydata.org/</w:t>
      </w:r>
    </w:p>
    <w:p>
      <w:pPr>
        <w:spacing w:before="0" w:after="40" w:line="240" w:lineRule="auto"/>
        <w:ind w:left="216" w:hanging="216"/>
        <w:jc w:val="left"/>
      </w:pPr>
      <w:r>
        <w:rPr>
          <w:rFonts w:ascii="Times New Roman" w:hAnsi="Times New Roman"/>
          <w:b w:val="0"/>
          <w:i w:val="0"/>
          <w:sz w:val="16"/>
        </w:rPr>
        <w:t>[3] Streamlit, "Streamlit documentation." [Online]. Available: https://docs.streamlit.io/</w:t>
      </w:r>
    </w:p>
    <w:p>
      <w:pPr>
        <w:spacing w:before="0" w:after="40" w:line="240" w:lineRule="auto"/>
        <w:ind w:left="216" w:hanging="216"/>
        <w:jc w:val="left"/>
      </w:pPr>
      <w:r>
        <w:rPr>
          <w:rFonts w:ascii="Times New Roman" w:hAnsi="Times New Roman"/>
          <w:b w:val="0"/>
          <w:i w:val="0"/>
          <w:sz w:val="16"/>
        </w:rPr>
        <w:t>[4] Plotly, "Plotly Python graphing library documentation." [Online]. Available: https://plotly.com/python/</w:t>
      </w:r>
    </w:p>
    <w:sectPr w:rsidR="00FC693F" w:rsidRPr="0006063C" w:rsidSect="00034616">
      <w:type w:val="continuous"/>
      <w:pgSz w:w="12240" w:h="15840"/>
      <w:pgMar w:top="936" w:right="1080" w:bottom="936"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 Logistics Profitability Intelligence</dc:title>
  <dc:subject>IEEE Style Supply Chain Analytics Research Paper</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