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line="240" w:lineRule="auto"/>
        <w:jc w:val="center"/>
      </w:pPr>
      <w:r>
        <w:rPr>
          <w:rFonts w:ascii="Times New Roman" w:hAnsi="Times New Roman"/>
          <w:b/>
          <w:i w:val="0"/>
          <w:sz w:val="32"/>
        </w:rPr>
        <w:t>Predictive Maintenance Analytics Using Machine Specific Baselines and Isolation Forest</w:t>
      </w:r>
    </w:p>
    <w:p>
      <w:pPr>
        <w:spacing w:before="0" w:after="20" w:line="240" w:lineRule="auto"/>
        <w:jc w:val="center"/>
      </w:pPr>
      <w:r>
        <w:rPr>
          <w:rFonts w:ascii="Times New Roman" w:hAnsi="Times New Roman"/>
          <w:b w:val="0"/>
          <w:i w:val="0"/>
          <w:sz w:val="20"/>
        </w:rPr>
        <w:t>Author Name</w:t>
      </w:r>
    </w:p>
    <w:p>
      <w:pPr>
        <w:spacing w:before="0" w:after="160" w:line="240" w:lineRule="auto"/>
        <w:jc w:val="center"/>
      </w:pPr>
      <w:r>
        <w:rPr>
          <w:rFonts w:ascii="Times New Roman" w:hAnsi="Times New Roman"/>
          <w:b w:val="0"/>
          <w:i w:val="0"/>
          <w:sz w:val="18"/>
        </w:rPr>
        <w:t>Department or Institution, City, Country</w:t>
        <w:br/>
        <w:t>email@example.com</w:t>
      </w:r>
    </w:p>
    <w:p>
      <w:pPr>
        <w:spacing w:before="0" w:after="80" w:line="240" w:lineRule="auto"/>
        <w:jc w:val="both"/>
      </w:pPr>
      <w:r>
        <w:rPr>
          <w:rFonts w:ascii="Times New Roman" w:hAnsi="Times New Roman"/>
          <w:b/>
          <w:i w:val="0"/>
          <w:sz w:val="18"/>
        </w:rPr>
        <w:t>Abstract—</w:t>
      </w:r>
      <w:r>
        <w:rPr>
          <w:rFonts w:ascii="Times New Roman" w:hAnsi="Times New Roman"/>
          <w:b w:val="0"/>
          <w:i/>
          <w:sz w:val="18"/>
        </w:rPr>
        <w:t>This paper presents an unsupervised predictive-maintenance workflow for 100,000 manufacturing telemetry readings from 50 machines. The workflow estimates machine-specific rolling baselines, engineers deviations and temporal features, and uses Isolation Forest to rank uncommon multivariate behavior. The resulting 0–100 anomaly score is mapped to low, medium, and high maintenance-risk categories and delivered through a Streamlit decision-support dashboard. The approach is intended to surface early warning signals before broad efficiency degradation is visible, while retaining a human maintenance professional in the response loop.</w:t>
      </w:r>
    </w:p>
    <w:p>
      <w:pPr>
        <w:spacing w:before="0" w:after="160" w:line="240" w:lineRule="auto"/>
        <w:jc w:val="both"/>
      </w:pPr>
      <w:r>
        <w:rPr>
          <w:rFonts w:ascii="Times New Roman" w:hAnsi="Times New Roman"/>
          <w:b/>
          <w:i w:val="0"/>
          <w:sz w:val="18"/>
        </w:rPr>
        <w:t>Index Terms—</w:t>
      </w:r>
      <w:r>
        <w:rPr>
          <w:rFonts w:ascii="Times New Roman" w:hAnsi="Times New Roman"/>
          <w:b w:val="0"/>
          <w:i/>
          <w:sz w:val="18"/>
        </w:rPr>
        <w:t>predictive maintenance, anomaly detection, Isolation Forest, industrial IoT, manufacturing analytics.</w:t>
      </w:r>
    </w:p>
    <w:p>
      <w:pPr>
        <w:sectPr>
          <w:pgSz w:w="12240" w:h="15840"/>
          <w:pgMar w:top="1037" w:right="1037" w:bottom="1037" w:left="1037" w:header="720" w:footer="720" w:gutter="0"/>
          <w:cols w:space="360" w:num="1" w:equalWidth="1"/>
          <w:docGrid w:linePitch="360"/>
        </w:sectPr>
      </w:pPr>
    </w:p>
    <w:p>
      <w:pPr>
        <w:spacing w:before="140" w:after="80" w:line="240" w:lineRule="auto"/>
        <w:jc w:val="center"/>
      </w:pPr>
      <w:r>
        <w:rPr>
          <w:rFonts w:ascii="Times New Roman" w:hAnsi="Times New Roman"/>
          <w:b/>
          <w:i w:val="0"/>
          <w:sz w:val="20"/>
        </w:rPr>
        <w:t>I. INTRODUCTION</w:t>
      </w:r>
    </w:p>
    <w:p>
      <w:pPr>
        <w:spacing w:before="0" w:after="60" w:line="240" w:lineRule="auto"/>
      </w:pPr>
      <w:r>
        <w:rPr>
          <w:rFonts w:ascii="Times New Roman" w:hAnsi="Times New Roman"/>
          <w:b w:val="0"/>
          <w:i w:val="0"/>
          <w:sz w:val="20"/>
        </w:rPr>
        <w:t>Unplanned machine failures are infrequent but costly because they interrupt production and can require urgent repair. Conventional rule-based thresholds are difficult to maintain in heterogeneous fleets: a reading that is routine for one asset or operating mode may be abnormal for another. The supplied manufacturing dataset contains timestamped temperature, vibration, power, network, quality, production, maintenance-score, and error-rate observations. It therefore supports an anomaly-detection framing in which rare combinations of measurements provide inspection signals before a confirmed failure occurs.</w:t>
      </w:r>
    </w:p>
    <w:p>
      <w:pPr>
        <w:spacing w:before="0" w:after="60" w:line="240" w:lineRule="auto"/>
      </w:pPr>
      <w:r>
        <w:rPr>
          <w:rFonts w:ascii="Times New Roman" w:hAnsi="Times New Roman"/>
          <w:b w:val="0"/>
          <w:i w:val="0"/>
          <w:sz w:val="20"/>
        </w:rPr>
        <w:t>The contribution of this work is a transparent, dashboard-oriented workflow that couples robust machine-specific baselines with multivariate anomaly scoring. Rather than treating the score as an automated shutdown decision, the application uses it to prioritize inspection and to show the sensor context and escalation history that led to an alert.</w:t>
      </w:r>
    </w:p>
    <w:p>
      <w:pPr>
        <w:spacing w:before="140" w:after="80" w:line="240" w:lineRule="auto"/>
        <w:jc w:val="center"/>
      </w:pPr>
      <w:r>
        <w:rPr>
          <w:rFonts w:ascii="Times New Roman" w:hAnsi="Times New Roman"/>
          <w:b/>
          <w:i w:val="0"/>
          <w:sz w:val="20"/>
        </w:rPr>
        <w:t>II. RELATED WORK</w:t>
      </w:r>
    </w:p>
    <w:p>
      <w:pPr>
        <w:spacing w:before="0" w:after="60" w:line="240" w:lineRule="auto"/>
      </w:pPr>
      <w:r>
        <w:rPr>
          <w:rFonts w:ascii="Times New Roman" w:hAnsi="Times New Roman"/>
          <w:b w:val="0"/>
          <w:i w:val="0"/>
          <w:sz w:val="20"/>
        </w:rPr>
        <w:t>Isolation Forest identifies anomalies by recursively partitioning data; observations isolated in fewer random splits are considered more unusual [1]. Its suitability for high-dimensional anomaly detection and its ensemble structure make it practical for operational telemetry. The implementation used here follows the IsolationForest estimator provided by scikit-learn [2]. Industrial predictive-maintenance research consistently emphasizes the need to combine sensor data, operational context, and maintenance outcomes when moving from detection toward failure prediction [3], [4].</w:t>
      </w:r>
    </w:p>
    <w:p>
      <w:pPr>
        <w:spacing w:before="140" w:after="80" w:line="240" w:lineRule="auto"/>
        <w:jc w:val="center"/>
      </w:pPr>
      <w:r>
        <w:rPr>
          <w:rFonts w:ascii="Times New Roman" w:hAnsi="Times New Roman"/>
          <w:b/>
          <w:i w:val="0"/>
          <w:sz w:val="20"/>
        </w:rPr>
        <w:t>III. DATASET AND EXPLORATORY ANALYSIS</w:t>
      </w:r>
    </w:p>
    <w:p>
      <w:pPr>
        <w:spacing w:before="0" w:after="60" w:line="240" w:lineRule="auto"/>
      </w:pPr>
      <w:r>
        <w:rPr>
          <w:rFonts w:ascii="Times New Roman" w:hAnsi="Times New Roman"/>
          <w:b w:val="0"/>
          <w:i w:val="0"/>
          <w:sz w:val="20"/>
        </w:rPr>
        <w:t>The dataset contains 100,000 readings from 50 machines, recorded from 01 Jan 2025 00:00 through 10 Mar 2025 10:39. The observed operating modes are Active (70,054), Idle (20,057), Maintenance (9,889). Efficiency labels are distributed as Low (77,825), Medium (19,189), High (2,986). Fields include physical sensors, network latency and packet loss, product quality, production speed, an existing predictive-maintenance score, and error rate.</w:t>
      </w:r>
    </w:p>
    <w:p>
      <w:pPr>
        <w:spacing w:before="0" w:after="60" w:line="240" w:lineRule="auto"/>
      </w:pPr>
      <w:r>
        <w:rPr>
          <w:rFonts w:ascii="Times New Roman" w:hAnsi="Times New Roman"/>
          <w:b w:val="0"/>
          <w:i w:val="0"/>
          <w:sz w:val="20"/>
        </w:rPr>
        <w:t>No confirmed breakdown date, work-order outcome, repair cost, or remaining-useful-life target is available. Accordingly, the analysis evaluates behavioral abnormality rather than a calibrated probability of failure. This distinction is important for safe deployment: alerts should guide inspection priority and be validated against maintenance outcomes.</w:t>
      </w:r>
    </w:p>
    <w:p>
      <w:pPr>
        <w:spacing w:before="140" w:after="80" w:line="240" w:lineRule="auto"/>
        <w:jc w:val="center"/>
      </w:pPr>
      <w:r>
        <w:rPr>
          <w:rFonts w:ascii="Times New Roman" w:hAnsi="Times New Roman"/>
          <w:b/>
          <w:i w:val="0"/>
          <w:sz w:val="20"/>
        </w:rPr>
        <w:t>IV. METHODOLOGY</w:t>
      </w:r>
    </w:p>
    <w:p>
      <w:pPr>
        <w:spacing w:before="0" w:after="60" w:line="240" w:lineRule="auto"/>
      </w:pPr>
      <w:r>
        <w:rPr>
          <w:rFonts w:ascii="Times New Roman" w:hAnsi="Times New Roman"/>
          <w:b w:val="0"/>
          <w:i w:val="0"/>
          <w:sz w:val="20"/>
        </w:rPr>
        <w:t>A rolling median baseline is calculated separately for each Machine_ID over the preceding 30 readings for temperature, vibration, power consumption, and error rate. The absolute difference from the baseline is divided by the rolling standard deviation, yielding a robust normalized deviation. A vibration-to-power ratio captures mechanical behavior relative to load, while a ten-observation error-rate difference represents short-term deterioration.</w:t>
      </w:r>
    </w:p>
    <w:p>
      <w:pPr>
        <w:spacing w:before="0" w:after="60" w:line="240" w:lineRule="auto"/>
      </w:pPr>
      <w:r>
        <w:rPr>
          <w:rFonts w:ascii="Times New Roman" w:hAnsi="Times New Roman"/>
          <w:b w:val="0"/>
          <w:i w:val="0"/>
          <w:sz w:val="20"/>
        </w:rPr>
        <w:t>The model input contains the original sensor, connectivity, quality, speed, maintenance-score, and error-rate fields plus the engineered deviations, ratio, and error trend. Robust scaling reduces the effect of heavy-tailed measurements. An Isolation Forest with 180 trees and an 8% contamination setting is fitted on a deterministic representative sample of at most 50,000 readings. Scores are transformed linearly to a 0–100 anomaly scale. Scores of 0–45 are Low, 45–70 are Medium, and values above 70 are High risk; users can change the operational alert threshold in the dashboard.</w:t>
      </w:r>
    </w:p>
    <w:p>
      <w:pPr>
        <w:spacing w:before="140" w:after="80" w:line="240" w:lineRule="auto"/>
        <w:jc w:val="center"/>
      </w:pPr>
      <w:r>
        <w:rPr>
          <w:rFonts w:ascii="Times New Roman" w:hAnsi="Times New Roman"/>
          <w:b/>
          <w:i w:val="0"/>
          <w:sz w:val="20"/>
        </w:rPr>
        <w:t>V. DASHBOARD DESIGN</w:t>
      </w:r>
    </w:p>
    <w:p>
      <w:pPr>
        <w:spacing w:before="0" w:after="60" w:line="240" w:lineRule="auto"/>
      </w:pPr>
      <w:r>
        <w:rPr>
          <w:rFonts w:ascii="Times New Roman" w:hAnsi="Times New Roman"/>
          <w:b w:val="0"/>
          <w:i w:val="0"/>
          <w:sz w:val="20"/>
        </w:rPr>
        <w:t>The Streamlit application supplies four modules: a predictive-maintenance overview, a machine anomaly dashboard, a maintenance alert panel, and historical risk analysis. Users select machine identifiers, a time window, operation modes, and an alert threshold. The overview presents risk distribution and the latest score per asset. The anomaly module displays score and sensor-deviation trends. The alert module provides inspection-priority recommendations and CSV export. The historical module aggregates hourly risk scores and compares behavior across operating modes.</w:t>
      </w:r>
    </w:p>
    <w:p>
      <w:pPr>
        <w:spacing w:before="140" w:after="80" w:line="240" w:lineRule="auto"/>
        <w:jc w:val="center"/>
      </w:pPr>
      <w:r>
        <w:rPr>
          <w:rFonts w:ascii="Times New Roman" w:hAnsi="Times New Roman"/>
          <w:b/>
          <w:i w:val="0"/>
          <w:sz w:val="20"/>
        </w:rPr>
        <w:t>VI. DISCUSSION AND RECOMMENDATIONS</w:t>
      </w:r>
    </w:p>
    <w:p>
      <w:pPr>
        <w:spacing w:before="0" w:after="60" w:line="240" w:lineRule="auto"/>
      </w:pPr>
      <w:r>
        <w:rPr>
          <w:rFonts w:ascii="Times New Roman" w:hAnsi="Times New Roman"/>
          <w:b w:val="0"/>
          <w:i w:val="0"/>
          <w:sz w:val="20"/>
        </w:rPr>
        <w:t>Machine-specific deviations avoid assuming that a single global threshold represents normal behavior. Multivariate scoring can identify subtle combinations of high vibration, changing power, rising error rate, and degraded connectivity that may not cross a univariate limit. However, unsupervised anomalies may also be explained by planned process changes, instrument drift, or changes in operating mode. The dashboard therefore exposes the underlying context and does not automatically issue a shutdown command.</w:t>
      </w:r>
    </w:p>
    <w:p>
      <w:pPr>
        <w:spacing w:before="0" w:after="60" w:line="240" w:lineRule="auto"/>
      </w:pPr>
      <w:r>
        <w:rPr>
          <w:rFonts w:ascii="Times New Roman" w:hAnsi="Times New Roman"/>
          <w:b w:val="0"/>
          <w:i w:val="0"/>
          <w:sz w:val="20"/>
        </w:rPr>
        <w:t>A controlled pilot should connect alert records to inspections and work orders. Key measures include the proportion of high-risk alerts inspected, warning lead time, false-alert rate, avoided downtime, and avoided cost. As outcomes are recorded, the organization can evaluate threshold performance by mode and machine type, retrain models, and progress toward supervised failure-risk estimation.</w:t>
      </w:r>
    </w:p>
    <w:p>
      <w:pPr>
        <w:spacing w:before="140" w:after="80" w:line="240" w:lineRule="auto"/>
        <w:jc w:val="center"/>
      </w:pPr>
      <w:r>
        <w:rPr>
          <w:rFonts w:ascii="Times New Roman" w:hAnsi="Times New Roman"/>
          <w:b/>
          <w:i w:val="0"/>
          <w:sz w:val="20"/>
        </w:rPr>
        <w:t>VII. CONCLUSION</w:t>
      </w:r>
    </w:p>
    <w:p>
      <w:pPr>
        <w:spacing w:before="0" w:after="60" w:line="240" w:lineRule="auto"/>
      </w:pPr>
      <w:r>
        <w:rPr>
          <w:rFonts w:ascii="Times New Roman" w:hAnsi="Times New Roman"/>
          <w:b w:val="0"/>
          <w:i w:val="0"/>
          <w:sz w:val="20"/>
        </w:rPr>
        <w:t>The proposed workflow turns manufacturing telemetry into an interpretable maintenance-prioritization process. Rolling machine baselines provide local context, engineered temporal features capture change, and Isolation Forest ranks rare multivariate behavior. The resulting dashboard supports a shift from reactive intervention to earlier, evidence-based inspection while retaining appropriate human oversight.</w:t>
      </w:r>
    </w:p>
    <w:p>
      <w:pPr>
        <w:spacing w:before="140" w:after="80" w:line="240" w:lineRule="auto"/>
        <w:jc w:val="center"/>
      </w:pPr>
      <w:r>
        <w:rPr>
          <w:rFonts w:ascii="Times New Roman" w:hAnsi="Times New Roman"/>
          <w:b/>
          <w:i w:val="0"/>
          <w:sz w:val="20"/>
        </w:rPr>
        <w:t>. REFERENCES</w:t>
      </w:r>
    </w:p>
    <w:p>
      <w:pPr>
        <w:spacing w:before="0" w:after="40" w:line="240" w:lineRule="auto"/>
      </w:pPr>
      <w:r>
        <w:rPr>
          <w:rFonts w:ascii="Times New Roman" w:hAnsi="Times New Roman"/>
          <w:b w:val="0"/>
          <w:i w:val="0"/>
          <w:sz w:val="16"/>
        </w:rPr>
        <w:t>[1] F. T. Liu, K. M. Ting, and Z.-H. Zhou, “Isolation Forest,” in Proc. 8th IEEE Int. Conf. Data Mining, Pisa, Italy, 2008, pp. 413–422, doi: 10.1109/ICDM.2008.17.</w:t>
      </w:r>
    </w:p>
    <w:p>
      <w:pPr>
        <w:spacing w:before="0" w:after="40" w:line="240" w:lineRule="auto"/>
      </w:pPr>
      <w:r>
        <w:rPr>
          <w:rFonts w:ascii="Times New Roman" w:hAnsi="Times New Roman"/>
          <w:b w:val="0"/>
          <w:i w:val="0"/>
          <w:sz w:val="16"/>
        </w:rPr>
        <w:t>[2] scikit-learn developers, “IsolationForest,” scikit-learn documentation. [Online]. Available: https://scikit-learn.org/stable/modules/generated/sklearn.ensemble.IsolationForest.html. Accessed: Sep. 30, 2026.</w:t>
      </w:r>
    </w:p>
    <w:p>
      <w:pPr>
        <w:spacing w:before="0" w:after="40" w:line="240" w:lineRule="auto"/>
      </w:pPr>
      <w:r>
        <w:rPr>
          <w:rFonts w:ascii="Times New Roman" w:hAnsi="Times New Roman"/>
          <w:b w:val="0"/>
          <w:i w:val="0"/>
          <w:sz w:val="16"/>
        </w:rPr>
        <w:t>[3] A. Carvalho, S. O. R. da Silva, R. M. Brito, and A. M. D. S. Ribeiro, “A systematic literature review of machine learning methods applied to predictive maintenance,” Comput. Ind. Eng., vol. 137, 2019, Art. no. 106024, doi: 10.1016/j.cie.2019.106024.</w:t>
      </w:r>
    </w:p>
    <w:p>
      <w:pPr>
        <w:spacing w:before="0" w:after="40" w:line="240" w:lineRule="auto"/>
      </w:pPr>
      <w:r>
        <w:rPr>
          <w:rFonts w:ascii="Times New Roman" w:hAnsi="Times New Roman"/>
          <w:b w:val="0"/>
          <w:i w:val="0"/>
          <w:sz w:val="16"/>
        </w:rPr>
        <w:t>[4] M. Compare, P. Baraldi, and E. Zio, “Challenges to IoT-enabled predictive maintenance for industry 4.0,” IEEE Internet Things J., vol. 7, no. 5, pp. 4585–4597, May 2020, doi: 10.1109/JIOT.2019.2957029.</w:t>
      </w:r>
    </w:p>
    <w:sectPr w:rsidR="00FC693F" w:rsidRPr="0006063C" w:rsidSect="00034616">
      <w:type w:val="continuous"/>
      <w:pgSz w:w="12240" w:h="15840"/>
      <w:pgMar w:top="1037" w:right="1037" w:bottom="1037" w:left="1037"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Maintenance Analytics Using Machine Specific Baselines and Isolation Forest</dc:title>
  <dc:subject/>
  <dc:creator>Author Name</dc:creator>
  <cp:keywords/>
  <dc:description>generated by python-docx</dc:description>
  <cp:lastModifiedBy/>
  <cp:revision>1</cp:revision>
  <dcterms:created xsi:type="dcterms:W3CDTF">2013-12-23T23:15:00Z</dcterms:created>
  <dcterms:modified xsi:type="dcterms:W3CDTF">2013-12-23T23:15:00Z</dcterms:modified>
  <cp:category/>
</cp:coreProperties>
</file>