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Predictive Maintenance Analytics Research Paper</w:t>
      </w:r>
    </w:p>
    <w:p>
      <w:r>
        <w:rPr>
          <w:i/>
          <w:color w:val="595959"/>
        </w:rPr>
        <w:t>Thales Manufacturing Telemetry Study</w:t>
      </w:r>
    </w:p>
    <w:p>
      <w:r>
        <w:t>This study analyzes 100,000 telemetry readings across 50 industrial machines, covering 01 Jan 2025 00:00 to 10 Mar 2025 10:39. The recommended approach is machine-specific baseline modelling with multivariate anomaly detection so maintenance teams can identify early warning signals before costly breakdowns.</w:t>
      </w:r>
    </w:p>
    <w:p>
      <w:pPr>
        <w:pStyle w:val="Heading1"/>
      </w:pPr>
      <w:r>
        <w:t>1 Background and problem</w:t>
      </w:r>
    </w:p>
    <w:p>
      <w:r>
        <w:t>Manufacturing failures are relatively rare but expensive. Waiting for broad efficiency measures to degrade can be too late because temperature, vibration, power, and error behavior may shift subtly beforehand. Fixed thresholds are insufficient because normal operating behavior differs by machine and operation mode.</w:t>
      </w:r>
    </w:p>
    <w:p>
      <w:pPr>
        <w:pStyle w:val="Heading1"/>
      </w:pPr>
      <w:r>
        <w:t>2 Exploratory data analysis</w:t>
      </w:r>
    </w:p>
    <w:tbl>
      <w:tblPr>
        <w:tblStyle w:val="TableGrid"/>
        <w:tblW w:type="auto" w:w="0"/>
        <w:jc w:val="center"/>
        <w:tblLook w:firstColumn="1" w:firstRow="1" w:lastColumn="0" w:lastRow="0" w:noHBand="0" w:noVBand="1" w:val="04A0"/>
      </w:tblPr>
      <w:tblGrid>
        <w:gridCol w:w="4968"/>
        <w:gridCol w:w="4968"/>
      </w:tblGrid>
      <w:tr>
        <w:tc>
          <w:tcPr>
            <w:tcW w:type="dxa" w:w="4968"/>
            <w:shd w:fill="17365D"/>
            <w:tcBorders>
              <w:top w:val="single" w:sz="4" w:color="D9D9D9"/>
              <w:left w:val="single" w:sz="4" w:color="D9D9D9"/>
              <w:bottom w:val="single" w:sz="4" w:color="D9D9D9"/>
              <w:right w:val="single" w:sz="4" w:color="D9D9D9"/>
            </w:tcBorders>
            <w:vAlign w:val="center"/>
          </w:tcPr>
          <w:p>
            <w:r>
              <w:rPr>
                <w:b/>
                <w:color w:val="FFFFFF"/>
                <w:sz w:val="18"/>
              </w:rPr>
              <w:t>Data characteristic</w:t>
            </w:r>
          </w:p>
        </w:tc>
        <w:tc>
          <w:tcPr>
            <w:tcW w:type="dxa" w:w="4968"/>
            <w:shd w:fill="17365D"/>
            <w:tcBorders>
              <w:top w:val="single" w:sz="4" w:color="D9D9D9"/>
              <w:left w:val="single" w:sz="4" w:color="D9D9D9"/>
              <w:bottom w:val="single" w:sz="4" w:color="D9D9D9"/>
              <w:right w:val="single" w:sz="4" w:color="D9D9D9"/>
            </w:tcBorders>
            <w:vAlign w:val="center"/>
          </w:tcPr>
          <w:p>
            <w:r>
              <w:rPr>
                <w:b/>
                <w:color w:val="FFFFFF"/>
                <w:sz w:val="18"/>
              </w:rPr>
              <w:t>Finding</w:t>
            </w:r>
          </w:p>
        </w:tc>
      </w:tr>
      <w:tr>
        <w:tc>
          <w:tcPr>
            <w:tcW w:type="dxa" w:w="4968"/>
            <w:tcBorders>
              <w:top w:val="single" w:sz="4" w:color="D9D9D9"/>
              <w:left w:val="single" w:sz="4" w:color="D9D9D9"/>
              <w:bottom w:val="single" w:sz="4" w:color="D9D9D9"/>
              <w:right w:val="single" w:sz="4" w:color="D9D9D9"/>
            </w:tcBorders>
            <w:vAlign w:val="center"/>
          </w:tcPr>
          <w:p>
            <w:r>
              <w:rPr>
                <w:sz w:val="18"/>
              </w:rPr>
              <w:t>Observations</w:t>
            </w:r>
          </w:p>
        </w:tc>
        <w:tc>
          <w:tcPr>
            <w:tcW w:type="dxa" w:w="4968"/>
            <w:tcBorders>
              <w:top w:val="single" w:sz="4" w:color="D9D9D9"/>
              <w:left w:val="single" w:sz="4" w:color="D9D9D9"/>
              <w:bottom w:val="single" w:sz="4" w:color="D9D9D9"/>
              <w:right w:val="single" w:sz="4" w:color="D9D9D9"/>
            </w:tcBorders>
            <w:vAlign w:val="center"/>
          </w:tcPr>
          <w:p>
            <w:r>
              <w:rPr>
                <w:sz w:val="18"/>
              </w:rPr>
              <w:t>100,000 timestamped readings</w:t>
            </w:r>
          </w:p>
        </w:tc>
      </w:tr>
      <w:tr>
        <w:tc>
          <w:tcPr>
            <w:tcW w:type="dxa" w:w="4968"/>
            <w:tcBorders>
              <w:top w:val="single" w:sz="4" w:color="D9D9D9"/>
              <w:left w:val="single" w:sz="4" w:color="D9D9D9"/>
              <w:bottom w:val="single" w:sz="4" w:color="D9D9D9"/>
              <w:right w:val="single" w:sz="4" w:color="D9D9D9"/>
            </w:tcBorders>
            <w:vAlign w:val="center"/>
            <w:shd w:fill="F3F7FB"/>
          </w:tcPr>
          <w:p>
            <w:r>
              <w:rPr>
                <w:sz w:val="18"/>
              </w:rPr>
              <w:t>Assets</w:t>
            </w:r>
          </w:p>
        </w:tc>
        <w:tc>
          <w:tcPr>
            <w:tcW w:type="dxa" w:w="4968"/>
            <w:tcBorders>
              <w:top w:val="single" w:sz="4" w:color="D9D9D9"/>
              <w:left w:val="single" w:sz="4" w:color="D9D9D9"/>
              <w:bottom w:val="single" w:sz="4" w:color="D9D9D9"/>
              <w:right w:val="single" w:sz="4" w:color="D9D9D9"/>
            </w:tcBorders>
            <w:vAlign w:val="center"/>
            <w:shd w:fill="F3F7FB"/>
          </w:tcPr>
          <w:p>
            <w:r>
              <w:rPr>
                <w:sz w:val="18"/>
              </w:rPr>
              <w:t>50 unique machine identifiers</w:t>
            </w:r>
          </w:p>
        </w:tc>
      </w:tr>
      <w:tr>
        <w:tc>
          <w:tcPr>
            <w:tcW w:type="dxa" w:w="4968"/>
            <w:tcBorders>
              <w:top w:val="single" w:sz="4" w:color="D9D9D9"/>
              <w:left w:val="single" w:sz="4" w:color="D9D9D9"/>
              <w:bottom w:val="single" w:sz="4" w:color="D9D9D9"/>
              <w:right w:val="single" w:sz="4" w:color="D9D9D9"/>
            </w:tcBorders>
            <w:vAlign w:val="center"/>
          </w:tcPr>
          <w:p>
            <w:r>
              <w:rPr>
                <w:sz w:val="18"/>
              </w:rPr>
              <w:t>Operation modes</w:t>
            </w:r>
          </w:p>
        </w:tc>
        <w:tc>
          <w:tcPr>
            <w:tcW w:type="dxa" w:w="4968"/>
            <w:tcBorders>
              <w:top w:val="single" w:sz="4" w:color="D9D9D9"/>
              <w:left w:val="single" w:sz="4" w:color="D9D9D9"/>
              <w:bottom w:val="single" w:sz="4" w:color="D9D9D9"/>
              <w:right w:val="single" w:sz="4" w:color="D9D9D9"/>
            </w:tcBorders>
            <w:vAlign w:val="center"/>
          </w:tcPr>
          <w:p>
            <w:r>
              <w:rPr>
                <w:sz w:val="18"/>
              </w:rPr>
              <w:t>Active: 70,054, Idle: 20,057, Maintenance: 9,889</w:t>
            </w:r>
          </w:p>
        </w:tc>
      </w:tr>
      <w:tr>
        <w:tc>
          <w:tcPr>
            <w:tcW w:type="dxa" w:w="4968"/>
            <w:tcBorders>
              <w:top w:val="single" w:sz="4" w:color="D9D9D9"/>
              <w:left w:val="single" w:sz="4" w:color="D9D9D9"/>
              <w:bottom w:val="single" w:sz="4" w:color="D9D9D9"/>
              <w:right w:val="single" w:sz="4" w:color="D9D9D9"/>
            </w:tcBorders>
            <w:vAlign w:val="center"/>
            <w:shd w:fill="F3F7FB"/>
          </w:tcPr>
          <w:p>
            <w:r>
              <w:rPr>
                <w:sz w:val="18"/>
              </w:rPr>
              <w:t>Efficiency labels</w:t>
            </w:r>
          </w:p>
        </w:tc>
        <w:tc>
          <w:tcPr>
            <w:tcW w:type="dxa" w:w="4968"/>
            <w:tcBorders>
              <w:top w:val="single" w:sz="4" w:color="D9D9D9"/>
              <w:left w:val="single" w:sz="4" w:color="D9D9D9"/>
              <w:bottom w:val="single" w:sz="4" w:color="D9D9D9"/>
              <w:right w:val="single" w:sz="4" w:color="D9D9D9"/>
            </w:tcBorders>
            <w:vAlign w:val="center"/>
            <w:shd w:fill="F3F7FB"/>
          </w:tcPr>
          <w:p>
            <w:r>
              <w:rPr>
                <w:sz w:val="18"/>
              </w:rPr>
              <w:t>Low: 77,825, Medium: 19,189, High: 2,986</w:t>
            </w:r>
          </w:p>
        </w:tc>
      </w:tr>
      <w:tr>
        <w:tc>
          <w:tcPr>
            <w:tcW w:type="dxa" w:w="4968"/>
            <w:tcBorders>
              <w:top w:val="single" w:sz="4" w:color="D9D9D9"/>
              <w:left w:val="single" w:sz="4" w:color="D9D9D9"/>
              <w:bottom w:val="single" w:sz="4" w:color="D9D9D9"/>
              <w:right w:val="single" w:sz="4" w:color="D9D9D9"/>
            </w:tcBorders>
            <w:vAlign w:val="center"/>
          </w:tcPr>
          <w:p>
            <w:r>
              <w:rPr>
                <w:sz w:val="18"/>
              </w:rPr>
              <w:t>Core sensor domains</w:t>
            </w:r>
          </w:p>
        </w:tc>
        <w:tc>
          <w:tcPr>
            <w:tcW w:type="dxa" w:w="4968"/>
            <w:tcBorders>
              <w:top w:val="single" w:sz="4" w:color="D9D9D9"/>
              <w:left w:val="single" w:sz="4" w:color="D9D9D9"/>
              <w:bottom w:val="single" w:sz="4" w:color="D9D9D9"/>
              <w:right w:val="single" w:sz="4" w:color="D9D9D9"/>
            </w:tcBorders>
            <w:vAlign w:val="center"/>
          </w:tcPr>
          <w:p>
            <w:r>
              <w:rPr>
                <w:sz w:val="18"/>
              </w:rPr>
              <w:t>Temperature, vibration, power, connectivity, quality, production speed, maintenance score, and error rate</w:t>
            </w:r>
          </w:p>
        </w:tc>
      </w:tr>
    </w:tbl>
    <w:p/>
    <w:p>
      <w:pPr>
        <w:pStyle w:val="Heading1"/>
      </w:pPr>
      <w:r>
        <w:t>3 Methodology</w:t>
      </w:r>
    </w:p>
    <w:p>
      <w:pPr>
        <w:pStyle w:val="Heading2"/>
      </w:pPr>
      <w:r>
        <w:t>Baseline behavior modelling</w:t>
      </w:r>
    </w:p>
    <w:p>
      <w:r>
        <w:t>For each Machine_ID, the application computes rolling median baselines for temperature, vibration, power consumption, and error rate. Median baselines are robust to occasional spikes. Each reading is represented by its normalized absolute deviation from the recent machine baseline.</w:t>
      </w:r>
    </w:p>
    <w:p>
      <w:pPr>
        <w:pStyle w:val="Heading2"/>
      </w:pPr>
      <w:r>
        <w:t>Feature engineering</w:t>
      </w:r>
    </w:p>
    <w:p>
      <w:pPr>
        <w:pStyle w:val="ListBullet"/>
      </w:pPr>
      <w:r>
        <w:t>Rolling sensor deviations for temperature, vibration, power, and error rate.</w:t>
      </w:r>
    </w:p>
    <w:p>
      <w:pPr>
        <w:pStyle w:val="ListBullet"/>
      </w:pPr>
      <w:r>
        <w:t>Vibration-to-power ratio to capture mechanical instability under changing load.</w:t>
      </w:r>
    </w:p>
    <w:p>
      <w:pPr>
        <w:pStyle w:val="ListBullet"/>
      </w:pPr>
      <w:r>
        <w:t>Ten-observation error-rate trend to capture deterioration.</w:t>
      </w:r>
    </w:p>
    <w:p>
      <w:pPr>
        <w:pStyle w:val="ListBullet"/>
      </w:pPr>
      <w:r>
        <w:t>Original sensor, network, quality, production, and maintenance-score fields for multivariate context.</w:t>
      </w:r>
    </w:p>
    <w:p>
      <w:pPr>
        <w:pStyle w:val="Heading2"/>
      </w:pPr>
      <w:r>
        <w:t>Anomaly detection and risk scoring</w:t>
      </w:r>
    </w:p>
    <w:p>
      <w:r>
        <w:t>Isolation Forest is trained on a deterministic representative sample of the telemetry. It isolates unusual combinations of measurements without requiring a confirmed failure label. Raw anomaly values are normalized to a 0-100 score. Scores up to 45 are Low risk, 45-70 Medium risk, and above 70 High risk; the dashboard allows users to change the operational alert threshold.</w:t>
      </w:r>
    </w:p>
    <w:p>
      <w:pPr>
        <w:pStyle w:val="Heading1"/>
      </w:pPr>
      <w:r>
        <w:t>4 Findings and operational recommendations</w:t>
      </w:r>
    </w:p>
    <w:p>
      <w:pPr>
        <w:pStyle w:val="ListBullet"/>
      </w:pPr>
      <w:r>
        <w:t>Use the dashboard's high-risk asset list as the daily inspection queue, not as an autonomous shutdown instruction.</w:t>
      </w:r>
    </w:p>
    <w:p>
      <w:pPr>
        <w:pStyle w:val="ListBullet"/>
      </w:pPr>
      <w:r>
        <w:t>Investigate sustained upward anomaly trends before they become high-risk alerts; this is the available early-warning lead time.</w:t>
      </w:r>
    </w:p>
    <w:p>
      <w:pPr>
        <w:pStyle w:val="ListBullet"/>
      </w:pPr>
      <w:r>
        <w:t>Compare sensor patterns during Maintenance mode against Active and Idle behavior to validate stabilization after intervention.</w:t>
      </w:r>
    </w:p>
    <w:p>
      <w:pPr>
        <w:pStyle w:val="ListBullet"/>
      </w:pPr>
      <w:r>
        <w:t>Review threshold performance with maintenance outcomes monthly, and recalibrate contamination and risk cutoffs as confirmed-failure labels become available.</w:t>
      </w:r>
    </w:p>
    <w:p>
      <w:pPr>
        <w:pStyle w:val="Heading1"/>
      </w:pPr>
      <w:r>
        <w:t>5 Limitations and next steps</w:t>
      </w:r>
    </w:p>
    <w:p>
      <w:r>
        <w:t>The supplied data does not include confirmed breakdown dates, work orders, costs, or inspection outcomes. The model therefore identifies behavioral anomalies rather than a calibrated probability of failure. The next deployment phase should join telemetry to maintenance records, measure precision and lead time, and establish a human-approved response playbook.</w:t>
      </w:r>
    </w:p>
    <w:p>
      <w:pPr>
        <w:pStyle w:val="Heading1"/>
      </w:pPr>
      <w:r>
        <w:t>6 Conclusion</w:t>
      </w:r>
    </w:p>
    <w:p>
      <w:r>
        <w:t>Machine-specific baselines and multivariate anomaly scores provide a practical bridge from reactive maintenance to preventive inspection. The accompanying Streamlit application turns this method into a live analytical workflow with transparent filters, alert export, and historical risk review.</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