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1D" w:rsidRDefault="00862BE1">
      <w:pPr>
        <w:rPr>
          <w:noProof/>
        </w:rPr>
      </w:pPr>
      <w:r>
        <w:rPr>
          <w:noProof/>
        </w:rPr>
        <w:drawing>
          <wp:inline distT="0" distB="0" distL="0" distR="0" wp14:anchorId="13917F41" wp14:editId="5227CF11">
            <wp:extent cx="3053443" cy="685800"/>
            <wp:effectExtent l="0" t="0" r="1397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2BE1" w:rsidRDefault="00862BE1">
      <w:bookmarkStart w:id="0" w:name="_GoBack"/>
      <w:r>
        <w:rPr>
          <w:noProof/>
        </w:rPr>
        <w:drawing>
          <wp:inline distT="0" distB="0" distL="0" distR="0" wp14:anchorId="035A9280" wp14:editId="288E379B">
            <wp:extent cx="5584371" cy="664029"/>
            <wp:effectExtent l="0" t="0" r="16510" b="222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862BE1" w:rsidRDefault="00862BE1">
      <w:r>
        <w:rPr>
          <w:noProof/>
        </w:rPr>
        <w:drawing>
          <wp:inline distT="0" distB="0" distL="0" distR="0" wp14:anchorId="517922F2" wp14:editId="338D4A84">
            <wp:extent cx="5295900" cy="707571"/>
            <wp:effectExtent l="0" t="0" r="19050" b="1651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62BE1" w:rsidRDefault="00862BE1">
      <w:r>
        <w:rPr>
          <w:noProof/>
        </w:rPr>
        <w:drawing>
          <wp:inline distT="0" distB="0" distL="0" distR="0" wp14:anchorId="189F39FA" wp14:editId="5AF63221">
            <wp:extent cx="3173186" cy="669471"/>
            <wp:effectExtent l="0" t="0" r="27305" b="1651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86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596" w:rsidRDefault="003F2596" w:rsidP="00862BE1">
      <w:r>
        <w:separator/>
      </w:r>
    </w:p>
  </w:endnote>
  <w:endnote w:type="continuationSeparator" w:id="0">
    <w:p w:rsidR="003F2596" w:rsidRDefault="003F2596" w:rsidP="0086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596" w:rsidRDefault="003F2596" w:rsidP="00862BE1">
      <w:r>
        <w:separator/>
      </w:r>
    </w:p>
  </w:footnote>
  <w:footnote w:type="continuationSeparator" w:id="0">
    <w:p w:rsidR="003F2596" w:rsidRDefault="003F2596" w:rsidP="00862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26"/>
    <w:rsid w:val="001E508D"/>
    <w:rsid w:val="003F2596"/>
    <w:rsid w:val="004C5D93"/>
    <w:rsid w:val="00693E38"/>
    <w:rsid w:val="006D611D"/>
    <w:rsid w:val="006F6EAB"/>
    <w:rsid w:val="00862BE1"/>
    <w:rsid w:val="009E4C26"/>
    <w:rsid w:val="00B01420"/>
    <w:rsid w:val="00D2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B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B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B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B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4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4061035362376176E-2"/>
          <c:y val="0.2488794669897032"/>
          <c:w val="0.93888888888888888"/>
          <c:h val="0.40980481985206396"/>
        </c:manualLayout>
      </c:layout>
      <c:barChart>
        <c:barDir val="col"/>
        <c:grouping val="clustered"/>
        <c:varyColors val="0"/>
        <c:ser>
          <c:idx val="0"/>
          <c:order val="0"/>
          <c:tx>
            <c:v>Stressful Events</c:v>
          </c:tx>
          <c:spPr>
            <a:solidFill>
              <a:schemeClr val="tx1"/>
            </a:solidFill>
          </c:spPr>
          <c:invertIfNegative val="0"/>
          <c:cat>
            <c:numRef>
              <c:f>'2013'!$A$1:$A$559</c:f>
              <c:numCache>
                <c:formatCode>General</c:formatCode>
                <c:ptCount val="55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</c:numCache>
            </c:numRef>
          </c:cat>
          <c:val>
            <c:numRef>
              <c:f>'2013'!$B$1:$B$559</c:f>
              <c:numCache>
                <c:formatCode>General</c:formatCode>
                <c:ptCount val="5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1</c:v>
                </c:pt>
                <c:pt idx="280">
                  <c:v>1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1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0</c:v>
                </c:pt>
                <c:pt idx="525">
                  <c:v>0</c:v>
                </c:pt>
                <c:pt idx="526">
                  <c:v>1</c:v>
                </c:pt>
                <c:pt idx="527">
                  <c:v>1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</c:numCache>
            </c:numRef>
          </c:val>
        </c:ser>
        <c:ser>
          <c:idx val="1"/>
          <c:order val="1"/>
          <c:tx>
            <c:v>Positive Events</c:v>
          </c:tx>
          <c:spPr>
            <a:solidFill>
              <a:schemeClr val="tx1">
                <a:lumMod val="50000"/>
                <a:lumOff val="50000"/>
              </a:schemeClr>
            </a:solidFill>
          </c:spPr>
          <c:invertIfNegative val="0"/>
          <c:cat>
            <c:numRef>
              <c:f>'2013'!$A$1:$A$559</c:f>
              <c:numCache>
                <c:formatCode>General</c:formatCode>
                <c:ptCount val="55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</c:numCache>
            </c:numRef>
          </c:cat>
          <c:val>
            <c:numRef>
              <c:f>'2013'!$C$1:$C$559</c:f>
              <c:numCache>
                <c:formatCode>General</c:formatCode>
                <c:ptCount val="5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1.2</c:v>
                </c:pt>
                <c:pt idx="50">
                  <c:v>1.2</c:v>
                </c:pt>
                <c:pt idx="51">
                  <c:v>1.2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1.2</c:v>
                </c:pt>
                <c:pt idx="62">
                  <c:v>1.2</c:v>
                </c:pt>
                <c:pt idx="63">
                  <c:v>1.2</c:v>
                </c:pt>
                <c:pt idx="64">
                  <c:v>1.2</c:v>
                </c:pt>
                <c:pt idx="65">
                  <c:v>1.2</c:v>
                </c:pt>
                <c:pt idx="66">
                  <c:v>1.2</c:v>
                </c:pt>
                <c:pt idx="67">
                  <c:v>1.2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1.2</c:v>
                </c:pt>
                <c:pt idx="76">
                  <c:v>1.2</c:v>
                </c:pt>
                <c:pt idx="77">
                  <c:v>1.2</c:v>
                </c:pt>
                <c:pt idx="78">
                  <c:v>1.2</c:v>
                </c:pt>
                <c:pt idx="79">
                  <c:v>1.2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1.2</c:v>
                </c:pt>
                <c:pt idx="149">
                  <c:v>1.2</c:v>
                </c:pt>
                <c:pt idx="150">
                  <c:v>1.2</c:v>
                </c:pt>
                <c:pt idx="151">
                  <c:v>0</c:v>
                </c:pt>
                <c:pt idx="152">
                  <c:v>0</c:v>
                </c:pt>
                <c:pt idx="153">
                  <c:v>1.2</c:v>
                </c:pt>
                <c:pt idx="154">
                  <c:v>1.2</c:v>
                </c:pt>
                <c:pt idx="155">
                  <c:v>1.2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1.2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1.2</c:v>
                </c:pt>
                <c:pt idx="268">
                  <c:v>1.2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1.2</c:v>
                </c:pt>
                <c:pt idx="274">
                  <c:v>1.2</c:v>
                </c:pt>
                <c:pt idx="275">
                  <c:v>1.2</c:v>
                </c:pt>
                <c:pt idx="276">
                  <c:v>1.2</c:v>
                </c:pt>
                <c:pt idx="277">
                  <c:v>1.2</c:v>
                </c:pt>
                <c:pt idx="278">
                  <c:v>1.2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1.2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1.2</c:v>
                </c:pt>
                <c:pt idx="334">
                  <c:v>1.2</c:v>
                </c:pt>
                <c:pt idx="335">
                  <c:v>1.2</c:v>
                </c:pt>
                <c:pt idx="336">
                  <c:v>1.2</c:v>
                </c:pt>
                <c:pt idx="337">
                  <c:v>1.2</c:v>
                </c:pt>
                <c:pt idx="338">
                  <c:v>1.2</c:v>
                </c:pt>
                <c:pt idx="339">
                  <c:v>1.2</c:v>
                </c:pt>
                <c:pt idx="340">
                  <c:v>1.2</c:v>
                </c:pt>
                <c:pt idx="341">
                  <c:v>1.2</c:v>
                </c:pt>
                <c:pt idx="342">
                  <c:v>1.2</c:v>
                </c:pt>
                <c:pt idx="343">
                  <c:v>1.2</c:v>
                </c:pt>
                <c:pt idx="344">
                  <c:v>1.2</c:v>
                </c:pt>
                <c:pt idx="345">
                  <c:v>1.2</c:v>
                </c:pt>
                <c:pt idx="346">
                  <c:v>1.2</c:v>
                </c:pt>
                <c:pt idx="347">
                  <c:v>1.2</c:v>
                </c:pt>
                <c:pt idx="348">
                  <c:v>1.2</c:v>
                </c:pt>
                <c:pt idx="349">
                  <c:v>1.2</c:v>
                </c:pt>
                <c:pt idx="350">
                  <c:v>1.2</c:v>
                </c:pt>
                <c:pt idx="351">
                  <c:v>1.2</c:v>
                </c:pt>
                <c:pt idx="352">
                  <c:v>1.2</c:v>
                </c:pt>
                <c:pt idx="353">
                  <c:v>1.2</c:v>
                </c:pt>
                <c:pt idx="354">
                  <c:v>1.2</c:v>
                </c:pt>
                <c:pt idx="355">
                  <c:v>1.2</c:v>
                </c:pt>
                <c:pt idx="356">
                  <c:v>1.2</c:v>
                </c:pt>
                <c:pt idx="357">
                  <c:v>1.2</c:v>
                </c:pt>
                <c:pt idx="358">
                  <c:v>1.2</c:v>
                </c:pt>
                <c:pt idx="359">
                  <c:v>1.2</c:v>
                </c:pt>
                <c:pt idx="360">
                  <c:v>1.2</c:v>
                </c:pt>
                <c:pt idx="361">
                  <c:v>1.2</c:v>
                </c:pt>
                <c:pt idx="362">
                  <c:v>1.2</c:v>
                </c:pt>
                <c:pt idx="363">
                  <c:v>1.2</c:v>
                </c:pt>
                <c:pt idx="364">
                  <c:v>1.2</c:v>
                </c:pt>
                <c:pt idx="365">
                  <c:v>1.2</c:v>
                </c:pt>
                <c:pt idx="366">
                  <c:v>1.2</c:v>
                </c:pt>
                <c:pt idx="367">
                  <c:v>1.2</c:v>
                </c:pt>
                <c:pt idx="368">
                  <c:v>1.2</c:v>
                </c:pt>
                <c:pt idx="369">
                  <c:v>1.2</c:v>
                </c:pt>
                <c:pt idx="370">
                  <c:v>1.2</c:v>
                </c:pt>
                <c:pt idx="371">
                  <c:v>1.2</c:v>
                </c:pt>
                <c:pt idx="372">
                  <c:v>1.2</c:v>
                </c:pt>
                <c:pt idx="373">
                  <c:v>1.2</c:v>
                </c:pt>
                <c:pt idx="374">
                  <c:v>1.2</c:v>
                </c:pt>
                <c:pt idx="375">
                  <c:v>1.2</c:v>
                </c:pt>
                <c:pt idx="376">
                  <c:v>1.2</c:v>
                </c:pt>
                <c:pt idx="377">
                  <c:v>1.2</c:v>
                </c:pt>
                <c:pt idx="378">
                  <c:v>1.2</c:v>
                </c:pt>
                <c:pt idx="379">
                  <c:v>1.2</c:v>
                </c:pt>
                <c:pt idx="380">
                  <c:v>1.2</c:v>
                </c:pt>
                <c:pt idx="381">
                  <c:v>1.2</c:v>
                </c:pt>
                <c:pt idx="382">
                  <c:v>1.2</c:v>
                </c:pt>
                <c:pt idx="383">
                  <c:v>1.2</c:v>
                </c:pt>
                <c:pt idx="384">
                  <c:v>1.2</c:v>
                </c:pt>
                <c:pt idx="385">
                  <c:v>1.2</c:v>
                </c:pt>
                <c:pt idx="386">
                  <c:v>1.2</c:v>
                </c:pt>
                <c:pt idx="387">
                  <c:v>1.2</c:v>
                </c:pt>
                <c:pt idx="388">
                  <c:v>1.2</c:v>
                </c:pt>
                <c:pt idx="389">
                  <c:v>1.2</c:v>
                </c:pt>
                <c:pt idx="390">
                  <c:v>1.2</c:v>
                </c:pt>
                <c:pt idx="391">
                  <c:v>1.2</c:v>
                </c:pt>
                <c:pt idx="392">
                  <c:v>1.2</c:v>
                </c:pt>
                <c:pt idx="393">
                  <c:v>1.2</c:v>
                </c:pt>
                <c:pt idx="394">
                  <c:v>1.2</c:v>
                </c:pt>
                <c:pt idx="395">
                  <c:v>1.2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1.2</c:v>
                </c:pt>
                <c:pt idx="424">
                  <c:v>1.2</c:v>
                </c:pt>
                <c:pt idx="425">
                  <c:v>1.2</c:v>
                </c:pt>
                <c:pt idx="426">
                  <c:v>1.2</c:v>
                </c:pt>
                <c:pt idx="427">
                  <c:v>1.2</c:v>
                </c:pt>
                <c:pt idx="428">
                  <c:v>1.2</c:v>
                </c:pt>
                <c:pt idx="429">
                  <c:v>1.2</c:v>
                </c:pt>
                <c:pt idx="430">
                  <c:v>1.2</c:v>
                </c:pt>
                <c:pt idx="431">
                  <c:v>1.2</c:v>
                </c:pt>
                <c:pt idx="432">
                  <c:v>1.2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1.2</c:v>
                </c:pt>
                <c:pt idx="450">
                  <c:v>1.2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1.2</c:v>
                </c:pt>
                <c:pt idx="512">
                  <c:v>1.2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1.2</c:v>
                </c:pt>
                <c:pt idx="519">
                  <c:v>1.2</c:v>
                </c:pt>
                <c:pt idx="520">
                  <c:v>1.2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73678976"/>
        <c:axId val="173680512"/>
      </c:barChart>
      <c:catAx>
        <c:axId val="17367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3680512"/>
        <c:crosses val="autoZero"/>
        <c:auto val="1"/>
        <c:lblAlgn val="ctr"/>
        <c:lblOffset val="100"/>
        <c:tickLblSkip val="30"/>
        <c:noMultiLvlLbl val="0"/>
      </c:catAx>
      <c:valAx>
        <c:axId val="17368051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73678976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13342427974373419"/>
          <c:y val="0"/>
          <c:w val="0.73315144051253156"/>
          <c:h val="0.23982643747780863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1703450861745729E-2"/>
          <c:y val="0.31331832894729733"/>
          <c:w val="0.94826797512379923"/>
          <c:h val="0.35252767317128836"/>
        </c:manualLayout>
      </c:layout>
      <c:barChart>
        <c:barDir val="col"/>
        <c:grouping val="clustered"/>
        <c:varyColors val="0"/>
        <c:ser>
          <c:idx val="0"/>
          <c:order val="0"/>
          <c:tx>
            <c:v>StressfulEvents</c:v>
          </c:tx>
          <c:spPr>
            <a:solidFill>
              <a:schemeClr val="tx1"/>
            </a:solidFill>
          </c:spPr>
          <c:invertIfNegative val="0"/>
          <c:cat>
            <c:numRef>
              <c:f>'2012'!$A$1:$A$943</c:f>
              <c:numCache>
                <c:formatCode>General</c:formatCode>
                <c:ptCount val="94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</c:numCache>
            </c:numRef>
          </c:cat>
          <c:val>
            <c:numRef>
              <c:f>'2012'!$B$1:$B$943</c:f>
              <c:numCache>
                <c:formatCode>General</c:formatCode>
                <c:ptCount val="94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0</c:v>
                </c:pt>
                <c:pt idx="108">
                  <c:v>0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0</c:v>
                </c:pt>
                <c:pt idx="113">
                  <c:v>0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1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1</c:v>
                </c:pt>
                <c:pt idx="290">
                  <c:v>1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1</c:v>
                </c:pt>
                <c:pt idx="434">
                  <c:v>1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0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0</c:v>
                </c:pt>
                <c:pt idx="503">
                  <c:v>0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0</c:v>
                </c:pt>
                <c:pt idx="537">
                  <c:v>0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0</c:v>
                </c:pt>
                <c:pt idx="590">
                  <c:v>0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0</c:v>
                </c:pt>
                <c:pt idx="633">
                  <c:v>0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1</c:v>
                </c:pt>
                <c:pt idx="892">
                  <c:v>1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</c:numCache>
            </c:numRef>
          </c:val>
        </c:ser>
        <c:ser>
          <c:idx val="1"/>
          <c:order val="1"/>
          <c:tx>
            <c:v>PositiveEvents</c:v>
          </c:tx>
          <c:spPr>
            <a:solidFill>
              <a:schemeClr val="tx1">
                <a:lumMod val="50000"/>
                <a:lumOff val="50000"/>
              </a:schemeClr>
            </a:solidFill>
          </c:spPr>
          <c:invertIfNegative val="0"/>
          <c:cat>
            <c:numRef>
              <c:f>'2012'!$A$1:$A$943</c:f>
              <c:numCache>
                <c:formatCode>General</c:formatCode>
                <c:ptCount val="94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</c:numCache>
            </c:numRef>
          </c:cat>
          <c:val>
            <c:numRef>
              <c:f>'2012'!$C$1:$C$943</c:f>
              <c:numCache>
                <c:formatCode>General</c:formatCode>
                <c:ptCount val="94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1.2</c:v>
                </c:pt>
                <c:pt idx="62">
                  <c:v>1.2</c:v>
                </c:pt>
                <c:pt idx="63">
                  <c:v>1.2</c:v>
                </c:pt>
                <c:pt idx="64">
                  <c:v>1.2</c:v>
                </c:pt>
                <c:pt idx="65">
                  <c:v>1.2</c:v>
                </c:pt>
                <c:pt idx="66">
                  <c:v>1.2</c:v>
                </c:pt>
                <c:pt idx="67">
                  <c:v>1.2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1.2</c:v>
                </c:pt>
                <c:pt idx="226">
                  <c:v>1.2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1.2</c:v>
                </c:pt>
                <c:pt idx="247">
                  <c:v>1.2</c:v>
                </c:pt>
                <c:pt idx="248">
                  <c:v>1.2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1.2</c:v>
                </c:pt>
                <c:pt idx="279">
                  <c:v>1.2</c:v>
                </c:pt>
                <c:pt idx="280">
                  <c:v>0</c:v>
                </c:pt>
                <c:pt idx="281">
                  <c:v>0</c:v>
                </c:pt>
                <c:pt idx="282">
                  <c:v>1.2</c:v>
                </c:pt>
                <c:pt idx="283">
                  <c:v>1.2</c:v>
                </c:pt>
                <c:pt idx="284">
                  <c:v>0</c:v>
                </c:pt>
                <c:pt idx="285">
                  <c:v>0</c:v>
                </c:pt>
                <c:pt idx="286">
                  <c:v>1.2</c:v>
                </c:pt>
                <c:pt idx="287">
                  <c:v>1.2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1.2</c:v>
                </c:pt>
                <c:pt idx="311">
                  <c:v>1.2</c:v>
                </c:pt>
                <c:pt idx="312">
                  <c:v>1.2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1.2</c:v>
                </c:pt>
                <c:pt idx="333">
                  <c:v>1.2</c:v>
                </c:pt>
                <c:pt idx="334">
                  <c:v>1.2</c:v>
                </c:pt>
                <c:pt idx="335">
                  <c:v>1.2</c:v>
                </c:pt>
                <c:pt idx="336">
                  <c:v>1.2</c:v>
                </c:pt>
                <c:pt idx="337">
                  <c:v>1.2</c:v>
                </c:pt>
                <c:pt idx="338">
                  <c:v>1.2</c:v>
                </c:pt>
                <c:pt idx="339">
                  <c:v>1.2</c:v>
                </c:pt>
                <c:pt idx="340">
                  <c:v>1.2</c:v>
                </c:pt>
                <c:pt idx="341">
                  <c:v>1.2</c:v>
                </c:pt>
                <c:pt idx="342">
                  <c:v>1.2</c:v>
                </c:pt>
                <c:pt idx="343">
                  <c:v>1.2</c:v>
                </c:pt>
                <c:pt idx="344">
                  <c:v>1.2</c:v>
                </c:pt>
                <c:pt idx="345">
                  <c:v>1.2</c:v>
                </c:pt>
                <c:pt idx="346">
                  <c:v>1.2</c:v>
                </c:pt>
                <c:pt idx="347">
                  <c:v>1.2</c:v>
                </c:pt>
                <c:pt idx="348">
                  <c:v>1.2</c:v>
                </c:pt>
                <c:pt idx="349">
                  <c:v>1.2</c:v>
                </c:pt>
                <c:pt idx="350">
                  <c:v>1.2</c:v>
                </c:pt>
                <c:pt idx="351">
                  <c:v>1.2</c:v>
                </c:pt>
                <c:pt idx="352">
                  <c:v>1.2</c:v>
                </c:pt>
                <c:pt idx="353">
                  <c:v>1.2</c:v>
                </c:pt>
                <c:pt idx="354">
                  <c:v>1.2</c:v>
                </c:pt>
                <c:pt idx="355">
                  <c:v>1.2</c:v>
                </c:pt>
                <c:pt idx="356">
                  <c:v>1.2</c:v>
                </c:pt>
                <c:pt idx="357">
                  <c:v>1.2</c:v>
                </c:pt>
                <c:pt idx="358">
                  <c:v>1.2</c:v>
                </c:pt>
                <c:pt idx="359">
                  <c:v>1.2</c:v>
                </c:pt>
                <c:pt idx="360">
                  <c:v>1.2</c:v>
                </c:pt>
                <c:pt idx="361">
                  <c:v>1.2</c:v>
                </c:pt>
                <c:pt idx="362">
                  <c:v>1.2</c:v>
                </c:pt>
                <c:pt idx="363">
                  <c:v>1.2</c:v>
                </c:pt>
                <c:pt idx="364">
                  <c:v>1.2</c:v>
                </c:pt>
                <c:pt idx="365">
                  <c:v>1.2</c:v>
                </c:pt>
                <c:pt idx="366">
                  <c:v>1.2</c:v>
                </c:pt>
                <c:pt idx="367">
                  <c:v>1.2</c:v>
                </c:pt>
                <c:pt idx="368">
                  <c:v>1.2</c:v>
                </c:pt>
                <c:pt idx="369">
                  <c:v>1.2</c:v>
                </c:pt>
                <c:pt idx="370">
                  <c:v>1.2</c:v>
                </c:pt>
                <c:pt idx="371">
                  <c:v>1.2</c:v>
                </c:pt>
                <c:pt idx="372">
                  <c:v>1.2</c:v>
                </c:pt>
                <c:pt idx="373">
                  <c:v>1.2</c:v>
                </c:pt>
                <c:pt idx="374">
                  <c:v>1.2</c:v>
                </c:pt>
                <c:pt idx="375">
                  <c:v>1.2</c:v>
                </c:pt>
                <c:pt idx="376">
                  <c:v>1.2</c:v>
                </c:pt>
                <c:pt idx="377">
                  <c:v>1.2</c:v>
                </c:pt>
                <c:pt idx="378">
                  <c:v>1.2</c:v>
                </c:pt>
                <c:pt idx="379">
                  <c:v>1.2</c:v>
                </c:pt>
                <c:pt idx="380">
                  <c:v>1.2</c:v>
                </c:pt>
                <c:pt idx="381">
                  <c:v>1.2</c:v>
                </c:pt>
                <c:pt idx="382">
                  <c:v>1.2</c:v>
                </c:pt>
                <c:pt idx="383">
                  <c:v>1.2</c:v>
                </c:pt>
                <c:pt idx="384">
                  <c:v>1.2</c:v>
                </c:pt>
                <c:pt idx="385">
                  <c:v>1.2</c:v>
                </c:pt>
                <c:pt idx="386">
                  <c:v>1.2</c:v>
                </c:pt>
                <c:pt idx="387">
                  <c:v>1.2</c:v>
                </c:pt>
                <c:pt idx="388">
                  <c:v>1.2</c:v>
                </c:pt>
                <c:pt idx="389">
                  <c:v>1.2</c:v>
                </c:pt>
                <c:pt idx="390">
                  <c:v>1.2</c:v>
                </c:pt>
                <c:pt idx="391">
                  <c:v>1.2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1.2</c:v>
                </c:pt>
                <c:pt idx="415">
                  <c:v>1.2</c:v>
                </c:pt>
                <c:pt idx="416">
                  <c:v>1.2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1.2</c:v>
                </c:pt>
                <c:pt idx="427">
                  <c:v>1.2</c:v>
                </c:pt>
                <c:pt idx="428">
                  <c:v>1.2</c:v>
                </c:pt>
                <c:pt idx="429">
                  <c:v>1.2</c:v>
                </c:pt>
                <c:pt idx="430">
                  <c:v>1.2</c:v>
                </c:pt>
                <c:pt idx="431">
                  <c:v>1.2</c:v>
                </c:pt>
                <c:pt idx="432">
                  <c:v>1.2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1.2</c:v>
                </c:pt>
                <c:pt idx="442">
                  <c:v>1.2</c:v>
                </c:pt>
                <c:pt idx="443">
                  <c:v>1.2</c:v>
                </c:pt>
                <c:pt idx="444">
                  <c:v>1.2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1.2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1.2</c:v>
                </c:pt>
                <c:pt idx="543">
                  <c:v>1.2</c:v>
                </c:pt>
                <c:pt idx="544">
                  <c:v>1.2</c:v>
                </c:pt>
                <c:pt idx="545">
                  <c:v>1.2</c:v>
                </c:pt>
                <c:pt idx="546">
                  <c:v>1.2</c:v>
                </c:pt>
                <c:pt idx="547">
                  <c:v>1.2</c:v>
                </c:pt>
                <c:pt idx="548">
                  <c:v>1.2</c:v>
                </c:pt>
                <c:pt idx="549">
                  <c:v>1.2</c:v>
                </c:pt>
                <c:pt idx="550">
                  <c:v>1.2</c:v>
                </c:pt>
                <c:pt idx="551">
                  <c:v>1.2</c:v>
                </c:pt>
                <c:pt idx="552">
                  <c:v>1.2</c:v>
                </c:pt>
                <c:pt idx="553">
                  <c:v>1.2</c:v>
                </c:pt>
                <c:pt idx="554">
                  <c:v>1.2</c:v>
                </c:pt>
                <c:pt idx="555">
                  <c:v>1.2</c:v>
                </c:pt>
                <c:pt idx="556">
                  <c:v>1.2</c:v>
                </c:pt>
                <c:pt idx="557">
                  <c:v>1.2</c:v>
                </c:pt>
                <c:pt idx="558">
                  <c:v>1.2</c:v>
                </c:pt>
                <c:pt idx="559">
                  <c:v>1.2</c:v>
                </c:pt>
                <c:pt idx="560">
                  <c:v>1.2</c:v>
                </c:pt>
                <c:pt idx="561">
                  <c:v>1.2</c:v>
                </c:pt>
                <c:pt idx="562">
                  <c:v>1.2</c:v>
                </c:pt>
                <c:pt idx="563">
                  <c:v>1.2</c:v>
                </c:pt>
                <c:pt idx="564">
                  <c:v>1.2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1.2</c:v>
                </c:pt>
                <c:pt idx="590">
                  <c:v>1.2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1.2</c:v>
                </c:pt>
                <c:pt idx="639">
                  <c:v>1.2</c:v>
                </c:pt>
                <c:pt idx="640">
                  <c:v>1.2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1.2</c:v>
                </c:pt>
                <c:pt idx="659">
                  <c:v>1.2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1.2</c:v>
                </c:pt>
                <c:pt idx="698">
                  <c:v>1.2</c:v>
                </c:pt>
                <c:pt idx="699">
                  <c:v>1.2</c:v>
                </c:pt>
                <c:pt idx="700">
                  <c:v>1.2</c:v>
                </c:pt>
                <c:pt idx="701">
                  <c:v>1.2</c:v>
                </c:pt>
                <c:pt idx="702">
                  <c:v>1.2</c:v>
                </c:pt>
                <c:pt idx="703">
                  <c:v>1.2</c:v>
                </c:pt>
                <c:pt idx="704">
                  <c:v>1.2</c:v>
                </c:pt>
                <c:pt idx="705">
                  <c:v>1.2</c:v>
                </c:pt>
                <c:pt idx="706">
                  <c:v>1.2</c:v>
                </c:pt>
                <c:pt idx="707">
                  <c:v>1.2</c:v>
                </c:pt>
                <c:pt idx="708">
                  <c:v>1.2</c:v>
                </c:pt>
                <c:pt idx="709">
                  <c:v>1.2</c:v>
                </c:pt>
                <c:pt idx="710">
                  <c:v>1.2</c:v>
                </c:pt>
                <c:pt idx="711">
                  <c:v>1.2</c:v>
                </c:pt>
                <c:pt idx="712">
                  <c:v>1.2</c:v>
                </c:pt>
                <c:pt idx="713">
                  <c:v>1.2</c:v>
                </c:pt>
                <c:pt idx="714">
                  <c:v>1.2</c:v>
                </c:pt>
                <c:pt idx="715">
                  <c:v>1.2</c:v>
                </c:pt>
                <c:pt idx="716">
                  <c:v>1.2</c:v>
                </c:pt>
                <c:pt idx="717">
                  <c:v>1.2</c:v>
                </c:pt>
                <c:pt idx="718">
                  <c:v>1.2</c:v>
                </c:pt>
                <c:pt idx="719">
                  <c:v>1.2</c:v>
                </c:pt>
                <c:pt idx="720">
                  <c:v>1.2</c:v>
                </c:pt>
                <c:pt idx="721">
                  <c:v>1.2</c:v>
                </c:pt>
                <c:pt idx="722">
                  <c:v>1.2</c:v>
                </c:pt>
                <c:pt idx="723">
                  <c:v>1.2</c:v>
                </c:pt>
                <c:pt idx="724">
                  <c:v>1.2</c:v>
                </c:pt>
                <c:pt idx="725">
                  <c:v>1.2</c:v>
                </c:pt>
                <c:pt idx="726">
                  <c:v>1.2</c:v>
                </c:pt>
                <c:pt idx="727">
                  <c:v>1.2</c:v>
                </c:pt>
                <c:pt idx="728">
                  <c:v>1.2</c:v>
                </c:pt>
                <c:pt idx="729">
                  <c:v>1.2</c:v>
                </c:pt>
                <c:pt idx="730">
                  <c:v>1.2</c:v>
                </c:pt>
                <c:pt idx="731">
                  <c:v>1.2</c:v>
                </c:pt>
                <c:pt idx="732">
                  <c:v>1.2</c:v>
                </c:pt>
                <c:pt idx="733">
                  <c:v>1.2</c:v>
                </c:pt>
                <c:pt idx="734">
                  <c:v>1.2</c:v>
                </c:pt>
                <c:pt idx="735">
                  <c:v>1.2</c:v>
                </c:pt>
                <c:pt idx="736">
                  <c:v>1.2</c:v>
                </c:pt>
                <c:pt idx="737">
                  <c:v>1.2</c:v>
                </c:pt>
                <c:pt idx="738">
                  <c:v>1.2</c:v>
                </c:pt>
                <c:pt idx="739">
                  <c:v>1.2</c:v>
                </c:pt>
                <c:pt idx="740">
                  <c:v>1.2</c:v>
                </c:pt>
                <c:pt idx="741">
                  <c:v>1.2</c:v>
                </c:pt>
                <c:pt idx="742">
                  <c:v>1.2</c:v>
                </c:pt>
                <c:pt idx="743">
                  <c:v>1.2</c:v>
                </c:pt>
                <c:pt idx="744">
                  <c:v>1.2</c:v>
                </c:pt>
                <c:pt idx="745">
                  <c:v>1.2</c:v>
                </c:pt>
                <c:pt idx="746">
                  <c:v>1.2</c:v>
                </c:pt>
                <c:pt idx="747">
                  <c:v>1.2</c:v>
                </c:pt>
                <c:pt idx="748">
                  <c:v>1.2</c:v>
                </c:pt>
                <c:pt idx="749">
                  <c:v>1.2</c:v>
                </c:pt>
                <c:pt idx="750">
                  <c:v>1.2</c:v>
                </c:pt>
                <c:pt idx="751">
                  <c:v>1.2</c:v>
                </c:pt>
                <c:pt idx="752">
                  <c:v>1.2</c:v>
                </c:pt>
                <c:pt idx="753">
                  <c:v>1.2</c:v>
                </c:pt>
                <c:pt idx="754">
                  <c:v>1.2</c:v>
                </c:pt>
                <c:pt idx="755">
                  <c:v>1.2</c:v>
                </c:pt>
                <c:pt idx="756">
                  <c:v>1.2</c:v>
                </c:pt>
                <c:pt idx="757">
                  <c:v>1.2</c:v>
                </c:pt>
                <c:pt idx="758">
                  <c:v>1.2</c:v>
                </c:pt>
                <c:pt idx="759">
                  <c:v>1.2</c:v>
                </c:pt>
                <c:pt idx="760">
                  <c:v>1.2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1.2</c:v>
                </c:pt>
                <c:pt idx="789">
                  <c:v>1.2</c:v>
                </c:pt>
                <c:pt idx="790">
                  <c:v>1.2</c:v>
                </c:pt>
                <c:pt idx="791">
                  <c:v>1.2</c:v>
                </c:pt>
                <c:pt idx="792">
                  <c:v>1.2</c:v>
                </c:pt>
                <c:pt idx="793">
                  <c:v>1.2</c:v>
                </c:pt>
                <c:pt idx="794">
                  <c:v>1.2</c:v>
                </c:pt>
                <c:pt idx="795">
                  <c:v>1.2</c:v>
                </c:pt>
                <c:pt idx="796">
                  <c:v>1.2</c:v>
                </c:pt>
                <c:pt idx="797">
                  <c:v>1.2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1.2</c:v>
                </c:pt>
                <c:pt idx="815">
                  <c:v>1.2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1.2</c:v>
                </c:pt>
                <c:pt idx="874">
                  <c:v>1.2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1.2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73914368"/>
        <c:axId val="174231552"/>
      </c:barChart>
      <c:catAx>
        <c:axId val="17391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4231552"/>
        <c:crosses val="autoZero"/>
        <c:auto val="1"/>
        <c:lblAlgn val="ctr"/>
        <c:lblOffset val="100"/>
        <c:tickLblSkip val="30"/>
        <c:noMultiLvlLbl val="0"/>
      </c:catAx>
      <c:valAx>
        <c:axId val="17423155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73914368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30574747635735888"/>
          <c:y val="0"/>
          <c:w val="0.38850504728528218"/>
          <c:h val="0.26207120849024307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1.6153980752405948E-2"/>
          <c:y val="0.3440305367920381"/>
          <c:w val="0.96709492563429567"/>
          <c:h val="0.21522964556645197"/>
        </c:manualLayout>
      </c:layout>
      <c:barChart>
        <c:barDir val="col"/>
        <c:grouping val="clustered"/>
        <c:varyColors val="0"/>
        <c:ser>
          <c:idx val="0"/>
          <c:order val="0"/>
          <c:tx>
            <c:v>Stressful Events</c:v>
          </c:tx>
          <c:spPr>
            <a:solidFill>
              <a:schemeClr val="tx1"/>
            </a:solidFill>
          </c:spPr>
          <c:invertIfNegative val="0"/>
          <c:cat>
            <c:numRef>
              <c:f>'2011'!$A$1:$A$913</c:f>
              <c:numCache>
                <c:formatCode>General</c:formatCode>
                <c:ptCount val="9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</c:numCache>
            </c:numRef>
          </c:cat>
          <c:val>
            <c:numRef>
              <c:f>'2011'!$B$1:$B$913</c:f>
              <c:numCache>
                <c:formatCode>General</c:formatCode>
                <c:ptCount val="913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0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1</c:v>
                </c:pt>
                <c:pt idx="261">
                  <c:v>1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0</c:v>
                </c:pt>
                <c:pt idx="321">
                  <c:v>0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0</c:v>
                </c:pt>
                <c:pt idx="326">
                  <c:v>0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0</c:v>
                </c:pt>
                <c:pt idx="331">
                  <c:v>0</c:v>
                </c:pt>
                <c:pt idx="332">
                  <c:v>1</c:v>
                </c:pt>
                <c:pt idx="333">
                  <c:v>1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1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0</c:v>
                </c:pt>
                <c:pt idx="616">
                  <c:v>0</c:v>
                </c:pt>
                <c:pt idx="617">
                  <c:v>1</c:v>
                </c:pt>
                <c:pt idx="618">
                  <c:v>1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1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0</c:v>
                </c:pt>
                <c:pt idx="674">
                  <c:v>0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1</c:v>
                </c:pt>
                <c:pt idx="704">
                  <c:v>1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1</c:v>
                </c:pt>
                <c:pt idx="802">
                  <c:v>0</c:v>
                </c:pt>
                <c:pt idx="803">
                  <c:v>0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0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1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</c:numCache>
            </c:numRef>
          </c:val>
        </c:ser>
        <c:ser>
          <c:idx val="1"/>
          <c:order val="1"/>
          <c:tx>
            <c:v>Positive Events</c:v>
          </c:tx>
          <c:spPr>
            <a:solidFill>
              <a:schemeClr val="tx1">
                <a:lumMod val="50000"/>
                <a:lumOff val="50000"/>
              </a:schemeClr>
            </a:solidFill>
          </c:spPr>
          <c:invertIfNegative val="0"/>
          <c:cat>
            <c:numRef>
              <c:f>'2011'!$A$1:$A$913</c:f>
              <c:numCache>
                <c:formatCode>General</c:formatCode>
                <c:ptCount val="9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</c:numCache>
            </c:numRef>
          </c:cat>
          <c:val>
            <c:numRef>
              <c:f>'2011'!$C$1:$C$913</c:f>
              <c:numCache>
                <c:formatCode>General</c:formatCode>
                <c:ptCount val="9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1.2</c:v>
                </c:pt>
                <c:pt idx="13">
                  <c:v>1.2</c:v>
                </c:pt>
                <c:pt idx="14">
                  <c:v>1.2</c:v>
                </c:pt>
                <c:pt idx="15">
                  <c:v>1.2</c:v>
                </c:pt>
                <c:pt idx="16">
                  <c:v>1.2</c:v>
                </c:pt>
                <c:pt idx="17">
                  <c:v>1.2</c:v>
                </c:pt>
                <c:pt idx="18">
                  <c:v>1.2</c:v>
                </c:pt>
                <c:pt idx="19">
                  <c:v>1.2</c:v>
                </c:pt>
                <c:pt idx="20">
                  <c:v>1.2</c:v>
                </c:pt>
                <c:pt idx="21">
                  <c:v>1.2</c:v>
                </c:pt>
                <c:pt idx="22">
                  <c:v>1.2</c:v>
                </c:pt>
                <c:pt idx="23">
                  <c:v>1.2</c:v>
                </c:pt>
                <c:pt idx="24">
                  <c:v>1.2</c:v>
                </c:pt>
                <c:pt idx="25">
                  <c:v>1.2</c:v>
                </c:pt>
                <c:pt idx="26">
                  <c:v>1.2</c:v>
                </c:pt>
                <c:pt idx="27">
                  <c:v>1.2</c:v>
                </c:pt>
                <c:pt idx="28">
                  <c:v>1.2</c:v>
                </c:pt>
                <c:pt idx="29">
                  <c:v>1.2</c:v>
                </c:pt>
                <c:pt idx="30">
                  <c:v>1.2</c:v>
                </c:pt>
                <c:pt idx="31">
                  <c:v>1.2</c:v>
                </c:pt>
                <c:pt idx="32">
                  <c:v>1.2</c:v>
                </c:pt>
                <c:pt idx="33">
                  <c:v>1.2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1.2</c:v>
                </c:pt>
                <c:pt idx="93">
                  <c:v>1.2</c:v>
                </c:pt>
                <c:pt idx="94">
                  <c:v>1.2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1.2</c:v>
                </c:pt>
                <c:pt idx="151">
                  <c:v>1.2</c:v>
                </c:pt>
                <c:pt idx="152">
                  <c:v>1.2</c:v>
                </c:pt>
                <c:pt idx="153">
                  <c:v>1.2</c:v>
                </c:pt>
                <c:pt idx="154">
                  <c:v>1.2</c:v>
                </c:pt>
                <c:pt idx="155">
                  <c:v>1.2</c:v>
                </c:pt>
                <c:pt idx="156">
                  <c:v>1.2</c:v>
                </c:pt>
                <c:pt idx="157">
                  <c:v>1.2</c:v>
                </c:pt>
                <c:pt idx="158">
                  <c:v>1.2</c:v>
                </c:pt>
                <c:pt idx="159">
                  <c:v>1.2</c:v>
                </c:pt>
                <c:pt idx="160">
                  <c:v>1.2</c:v>
                </c:pt>
                <c:pt idx="161">
                  <c:v>1.2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1.2</c:v>
                </c:pt>
                <c:pt idx="194">
                  <c:v>1.2</c:v>
                </c:pt>
                <c:pt idx="195">
                  <c:v>1.2</c:v>
                </c:pt>
                <c:pt idx="196">
                  <c:v>1.2</c:v>
                </c:pt>
                <c:pt idx="197">
                  <c:v>1.2</c:v>
                </c:pt>
                <c:pt idx="198">
                  <c:v>1.2</c:v>
                </c:pt>
                <c:pt idx="199">
                  <c:v>1.2</c:v>
                </c:pt>
                <c:pt idx="200">
                  <c:v>1.2</c:v>
                </c:pt>
                <c:pt idx="201">
                  <c:v>1.2</c:v>
                </c:pt>
                <c:pt idx="202">
                  <c:v>1.2</c:v>
                </c:pt>
                <c:pt idx="203">
                  <c:v>1.2</c:v>
                </c:pt>
                <c:pt idx="204">
                  <c:v>1.2</c:v>
                </c:pt>
                <c:pt idx="205">
                  <c:v>1.2</c:v>
                </c:pt>
                <c:pt idx="206">
                  <c:v>1.2</c:v>
                </c:pt>
                <c:pt idx="207">
                  <c:v>1.2</c:v>
                </c:pt>
                <c:pt idx="208">
                  <c:v>1.2</c:v>
                </c:pt>
                <c:pt idx="209">
                  <c:v>1.2</c:v>
                </c:pt>
                <c:pt idx="210">
                  <c:v>1.2</c:v>
                </c:pt>
                <c:pt idx="211">
                  <c:v>1.2</c:v>
                </c:pt>
                <c:pt idx="212">
                  <c:v>1.2</c:v>
                </c:pt>
                <c:pt idx="213">
                  <c:v>1.2</c:v>
                </c:pt>
                <c:pt idx="214">
                  <c:v>1.2</c:v>
                </c:pt>
                <c:pt idx="215">
                  <c:v>1.2</c:v>
                </c:pt>
                <c:pt idx="216">
                  <c:v>1.2</c:v>
                </c:pt>
                <c:pt idx="217">
                  <c:v>1.2</c:v>
                </c:pt>
                <c:pt idx="218">
                  <c:v>1.2</c:v>
                </c:pt>
                <c:pt idx="219">
                  <c:v>1.2</c:v>
                </c:pt>
                <c:pt idx="220">
                  <c:v>1.2</c:v>
                </c:pt>
                <c:pt idx="221">
                  <c:v>1.2</c:v>
                </c:pt>
                <c:pt idx="222">
                  <c:v>1.2</c:v>
                </c:pt>
                <c:pt idx="223">
                  <c:v>1.2</c:v>
                </c:pt>
                <c:pt idx="224">
                  <c:v>1.2</c:v>
                </c:pt>
                <c:pt idx="225">
                  <c:v>1.2</c:v>
                </c:pt>
                <c:pt idx="226">
                  <c:v>1.2</c:v>
                </c:pt>
                <c:pt idx="227">
                  <c:v>1.2</c:v>
                </c:pt>
                <c:pt idx="228">
                  <c:v>1.2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1.2</c:v>
                </c:pt>
                <c:pt idx="233">
                  <c:v>1.2</c:v>
                </c:pt>
                <c:pt idx="234">
                  <c:v>1.2</c:v>
                </c:pt>
                <c:pt idx="235">
                  <c:v>1.2</c:v>
                </c:pt>
                <c:pt idx="236">
                  <c:v>1.2</c:v>
                </c:pt>
                <c:pt idx="237">
                  <c:v>1.2</c:v>
                </c:pt>
                <c:pt idx="238">
                  <c:v>1.2</c:v>
                </c:pt>
                <c:pt idx="239">
                  <c:v>1.2</c:v>
                </c:pt>
                <c:pt idx="240">
                  <c:v>1.2</c:v>
                </c:pt>
                <c:pt idx="241">
                  <c:v>1.2</c:v>
                </c:pt>
                <c:pt idx="242">
                  <c:v>1.2</c:v>
                </c:pt>
                <c:pt idx="243">
                  <c:v>1.2</c:v>
                </c:pt>
                <c:pt idx="244">
                  <c:v>1.2</c:v>
                </c:pt>
                <c:pt idx="245">
                  <c:v>1.2</c:v>
                </c:pt>
                <c:pt idx="246">
                  <c:v>1.2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1.2</c:v>
                </c:pt>
                <c:pt idx="275">
                  <c:v>1.2</c:v>
                </c:pt>
                <c:pt idx="276">
                  <c:v>1.2</c:v>
                </c:pt>
                <c:pt idx="277">
                  <c:v>1.2</c:v>
                </c:pt>
                <c:pt idx="278">
                  <c:v>1.2</c:v>
                </c:pt>
                <c:pt idx="279">
                  <c:v>1.2</c:v>
                </c:pt>
                <c:pt idx="280">
                  <c:v>1.2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1.2</c:v>
                </c:pt>
                <c:pt idx="439">
                  <c:v>1.2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1.2</c:v>
                </c:pt>
                <c:pt idx="460">
                  <c:v>1.2</c:v>
                </c:pt>
                <c:pt idx="461">
                  <c:v>1.2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1.2</c:v>
                </c:pt>
                <c:pt idx="492">
                  <c:v>1.2</c:v>
                </c:pt>
                <c:pt idx="493">
                  <c:v>0</c:v>
                </c:pt>
                <c:pt idx="494">
                  <c:v>0</c:v>
                </c:pt>
                <c:pt idx="495">
                  <c:v>1.2</c:v>
                </c:pt>
                <c:pt idx="496">
                  <c:v>1.2</c:v>
                </c:pt>
                <c:pt idx="497">
                  <c:v>0</c:v>
                </c:pt>
                <c:pt idx="498">
                  <c:v>0</c:v>
                </c:pt>
                <c:pt idx="499">
                  <c:v>1.2</c:v>
                </c:pt>
                <c:pt idx="500">
                  <c:v>1.2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1.2</c:v>
                </c:pt>
                <c:pt idx="524">
                  <c:v>1.2</c:v>
                </c:pt>
                <c:pt idx="525">
                  <c:v>1.2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1.2</c:v>
                </c:pt>
                <c:pt idx="548">
                  <c:v>1.2</c:v>
                </c:pt>
                <c:pt idx="549">
                  <c:v>1.2</c:v>
                </c:pt>
                <c:pt idx="550">
                  <c:v>1.2</c:v>
                </c:pt>
                <c:pt idx="551">
                  <c:v>1.2</c:v>
                </c:pt>
                <c:pt idx="552">
                  <c:v>1.2</c:v>
                </c:pt>
                <c:pt idx="553">
                  <c:v>1.2</c:v>
                </c:pt>
                <c:pt idx="554">
                  <c:v>1.2</c:v>
                </c:pt>
                <c:pt idx="555">
                  <c:v>1.2</c:v>
                </c:pt>
                <c:pt idx="556">
                  <c:v>1.2</c:v>
                </c:pt>
                <c:pt idx="557">
                  <c:v>1.2</c:v>
                </c:pt>
                <c:pt idx="558">
                  <c:v>1.2</c:v>
                </c:pt>
                <c:pt idx="559">
                  <c:v>1.2</c:v>
                </c:pt>
                <c:pt idx="560">
                  <c:v>1.2</c:v>
                </c:pt>
                <c:pt idx="561">
                  <c:v>1.2</c:v>
                </c:pt>
                <c:pt idx="562">
                  <c:v>1.2</c:v>
                </c:pt>
                <c:pt idx="563">
                  <c:v>1.2</c:v>
                </c:pt>
                <c:pt idx="564">
                  <c:v>1.2</c:v>
                </c:pt>
                <c:pt idx="565">
                  <c:v>1.2</c:v>
                </c:pt>
                <c:pt idx="566">
                  <c:v>1.2</c:v>
                </c:pt>
                <c:pt idx="567">
                  <c:v>1.2</c:v>
                </c:pt>
                <c:pt idx="568">
                  <c:v>1.2</c:v>
                </c:pt>
                <c:pt idx="569">
                  <c:v>1.2</c:v>
                </c:pt>
                <c:pt idx="570">
                  <c:v>1.2</c:v>
                </c:pt>
                <c:pt idx="571">
                  <c:v>1.2</c:v>
                </c:pt>
                <c:pt idx="572">
                  <c:v>1.2</c:v>
                </c:pt>
                <c:pt idx="573">
                  <c:v>1.2</c:v>
                </c:pt>
                <c:pt idx="574">
                  <c:v>1.2</c:v>
                </c:pt>
                <c:pt idx="575">
                  <c:v>1.2</c:v>
                </c:pt>
                <c:pt idx="576">
                  <c:v>1.2</c:v>
                </c:pt>
                <c:pt idx="577">
                  <c:v>1.2</c:v>
                </c:pt>
                <c:pt idx="578">
                  <c:v>1.2</c:v>
                </c:pt>
                <c:pt idx="579">
                  <c:v>1.2</c:v>
                </c:pt>
                <c:pt idx="580">
                  <c:v>1.2</c:v>
                </c:pt>
                <c:pt idx="581">
                  <c:v>1.2</c:v>
                </c:pt>
                <c:pt idx="582">
                  <c:v>1.2</c:v>
                </c:pt>
                <c:pt idx="583">
                  <c:v>1.2</c:v>
                </c:pt>
                <c:pt idx="584">
                  <c:v>1.2</c:v>
                </c:pt>
                <c:pt idx="585">
                  <c:v>1.2</c:v>
                </c:pt>
                <c:pt idx="586">
                  <c:v>1.2</c:v>
                </c:pt>
                <c:pt idx="587">
                  <c:v>1.2</c:v>
                </c:pt>
                <c:pt idx="588">
                  <c:v>1.2</c:v>
                </c:pt>
                <c:pt idx="589">
                  <c:v>1.2</c:v>
                </c:pt>
                <c:pt idx="590">
                  <c:v>1.2</c:v>
                </c:pt>
                <c:pt idx="591">
                  <c:v>1.2</c:v>
                </c:pt>
                <c:pt idx="592">
                  <c:v>1.2</c:v>
                </c:pt>
                <c:pt idx="593">
                  <c:v>1.2</c:v>
                </c:pt>
                <c:pt idx="594">
                  <c:v>1.2</c:v>
                </c:pt>
                <c:pt idx="595">
                  <c:v>1.2</c:v>
                </c:pt>
                <c:pt idx="596">
                  <c:v>1.2</c:v>
                </c:pt>
                <c:pt idx="597">
                  <c:v>1.2</c:v>
                </c:pt>
                <c:pt idx="598">
                  <c:v>1.2</c:v>
                </c:pt>
                <c:pt idx="599">
                  <c:v>1.2</c:v>
                </c:pt>
                <c:pt idx="600">
                  <c:v>1.2</c:v>
                </c:pt>
                <c:pt idx="601">
                  <c:v>1.2</c:v>
                </c:pt>
                <c:pt idx="602">
                  <c:v>1.2</c:v>
                </c:pt>
                <c:pt idx="603">
                  <c:v>1.2</c:v>
                </c:pt>
                <c:pt idx="604">
                  <c:v>1.2</c:v>
                </c:pt>
                <c:pt idx="605">
                  <c:v>1.2</c:v>
                </c:pt>
                <c:pt idx="606">
                  <c:v>1.2</c:v>
                </c:pt>
                <c:pt idx="607">
                  <c:v>1.2</c:v>
                </c:pt>
                <c:pt idx="608">
                  <c:v>1.2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1.2</c:v>
                </c:pt>
                <c:pt idx="628">
                  <c:v>1.2</c:v>
                </c:pt>
                <c:pt idx="629">
                  <c:v>1.2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1.2</c:v>
                </c:pt>
                <c:pt idx="640">
                  <c:v>1.2</c:v>
                </c:pt>
                <c:pt idx="641">
                  <c:v>1.2</c:v>
                </c:pt>
                <c:pt idx="642">
                  <c:v>1.2</c:v>
                </c:pt>
                <c:pt idx="643">
                  <c:v>1.2</c:v>
                </c:pt>
                <c:pt idx="644">
                  <c:v>1.2</c:v>
                </c:pt>
                <c:pt idx="645">
                  <c:v>1.2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1.2</c:v>
                </c:pt>
                <c:pt idx="655">
                  <c:v>1.2</c:v>
                </c:pt>
                <c:pt idx="656">
                  <c:v>1.2</c:v>
                </c:pt>
                <c:pt idx="657">
                  <c:v>1.2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1.2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1.2</c:v>
                </c:pt>
                <c:pt idx="803">
                  <c:v>1.2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1.2</c:v>
                </c:pt>
                <c:pt idx="851">
                  <c:v>1.2</c:v>
                </c:pt>
                <c:pt idx="852">
                  <c:v>1.2</c:v>
                </c:pt>
                <c:pt idx="853">
                  <c:v>1.2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1.2</c:v>
                </c:pt>
                <c:pt idx="911">
                  <c:v>1.2</c:v>
                </c:pt>
                <c:pt idx="912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74817664"/>
        <c:axId val="174819200"/>
      </c:barChart>
      <c:catAx>
        <c:axId val="17481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4819200"/>
        <c:crosses val="autoZero"/>
        <c:auto val="1"/>
        <c:lblAlgn val="ctr"/>
        <c:lblOffset val="100"/>
        <c:tickLblSkip val="30"/>
        <c:noMultiLvlLbl val="0"/>
      </c:catAx>
      <c:valAx>
        <c:axId val="174819200"/>
        <c:scaling>
          <c:orientation val="minMax"/>
          <c:max val="1.5"/>
          <c:min val="0"/>
        </c:scaling>
        <c:delete val="1"/>
        <c:axPos val="l"/>
        <c:numFmt formatCode="General" sourceLinked="1"/>
        <c:majorTickMark val="out"/>
        <c:minorTickMark val="none"/>
        <c:tickLblPos val="nextTo"/>
        <c:crossAx val="174817664"/>
        <c:crosses val="autoZero"/>
        <c:crossBetween val="between"/>
        <c:majorUnit val="1"/>
        <c:minorUnit val="1"/>
      </c:valAx>
    </c:plotArea>
    <c:legend>
      <c:legendPos val="t"/>
      <c:layout>
        <c:manualLayout>
          <c:xMode val="edge"/>
          <c:yMode val="edge"/>
          <c:x val="0.28866953681149571"/>
          <c:y val="1.6189030822314019E-2"/>
          <c:w val="0.42266092637700864"/>
          <c:h val="0.30597146168911626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1417445482866043E-2"/>
          <c:y val="0.2819217862604495"/>
          <c:w val="0.95716510903426788"/>
          <c:h val="0.37343262771631924"/>
        </c:manualLayout>
      </c:layout>
      <c:barChart>
        <c:barDir val="col"/>
        <c:grouping val="clustered"/>
        <c:varyColors val="0"/>
        <c:ser>
          <c:idx val="0"/>
          <c:order val="0"/>
          <c:tx>
            <c:v>StressfulEvents</c:v>
          </c:tx>
          <c:spPr>
            <a:solidFill>
              <a:schemeClr val="tx1"/>
            </a:solidFill>
          </c:spPr>
          <c:invertIfNegative val="0"/>
          <c:cat>
            <c:numRef>
              <c:f>'2010'!$E$1:$E$548</c:f>
              <c:numCache>
                <c:formatCode>General</c:formatCode>
                <c:ptCount val="54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</c:numCache>
            </c:numRef>
          </c:cat>
          <c:val>
            <c:numRef>
              <c:f>'2010'!$F$1:$F$548</c:f>
              <c:numCache>
                <c:formatCode>General</c:formatCode>
                <c:ptCount val="54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0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0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1</c:v>
                </c:pt>
                <c:pt idx="261">
                  <c:v>1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0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</c:numCache>
            </c:numRef>
          </c:val>
        </c:ser>
        <c:ser>
          <c:idx val="1"/>
          <c:order val="1"/>
          <c:tx>
            <c:v>PositiveEvents</c:v>
          </c:tx>
          <c:spPr>
            <a:solidFill>
              <a:schemeClr val="tx1">
                <a:lumMod val="50000"/>
                <a:lumOff val="50000"/>
              </a:schemeClr>
            </a:solidFill>
            <a:ln w="3175">
              <a:noFill/>
            </a:ln>
          </c:spPr>
          <c:invertIfNegative val="0"/>
          <c:cat>
            <c:numRef>
              <c:f>'2010'!$E$1:$E$548</c:f>
              <c:numCache>
                <c:formatCode>General</c:formatCode>
                <c:ptCount val="54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</c:numCache>
            </c:numRef>
          </c:cat>
          <c:val>
            <c:numRef>
              <c:f>'2010'!$G$1:$G$548</c:f>
              <c:numCache>
                <c:formatCode>General</c:formatCode>
                <c:ptCount val="5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1.2</c:v>
                </c:pt>
                <c:pt idx="13">
                  <c:v>1.2</c:v>
                </c:pt>
                <c:pt idx="14">
                  <c:v>1.2</c:v>
                </c:pt>
                <c:pt idx="15">
                  <c:v>1.2</c:v>
                </c:pt>
                <c:pt idx="16">
                  <c:v>1.2</c:v>
                </c:pt>
                <c:pt idx="17">
                  <c:v>1.2</c:v>
                </c:pt>
                <c:pt idx="18">
                  <c:v>1.2</c:v>
                </c:pt>
                <c:pt idx="19">
                  <c:v>1.2</c:v>
                </c:pt>
                <c:pt idx="20">
                  <c:v>1.2</c:v>
                </c:pt>
                <c:pt idx="21">
                  <c:v>1.2</c:v>
                </c:pt>
                <c:pt idx="22">
                  <c:v>1.2</c:v>
                </c:pt>
                <c:pt idx="23">
                  <c:v>1.2</c:v>
                </c:pt>
                <c:pt idx="24">
                  <c:v>1.2</c:v>
                </c:pt>
                <c:pt idx="25">
                  <c:v>1.2</c:v>
                </c:pt>
                <c:pt idx="26">
                  <c:v>1.2</c:v>
                </c:pt>
                <c:pt idx="27">
                  <c:v>1.2</c:v>
                </c:pt>
                <c:pt idx="28">
                  <c:v>1.2</c:v>
                </c:pt>
                <c:pt idx="29">
                  <c:v>1.2</c:v>
                </c:pt>
                <c:pt idx="30">
                  <c:v>1.2</c:v>
                </c:pt>
                <c:pt idx="31">
                  <c:v>1.2</c:v>
                </c:pt>
                <c:pt idx="32">
                  <c:v>1.2</c:v>
                </c:pt>
                <c:pt idx="33">
                  <c:v>1.2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1.2</c:v>
                </c:pt>
                <c:pt idx="91">
                  <c:v>1.2</c:v>
                </c:pt>
                <c:pt idx="92">
                  <c:v>1.2</c:v>
                </c:pt>
                <c:pt idx="93">
                  <c:v>1.2</c:v>
                </c:pt>
                <c:pt idx="94">
                  <c:v>1.2</c:v>
                </c:pt>
                <c:pt idx="95">
                  <c:v>1.2</c:v>
                </c:pt>
                <c:pt idx="96">
                  <c:v>1.2</c:v>
                </c:pt>
                <c:pt idx="97">
                  <c:v>1.2</c:v>
                </c:pt>
                <c:pt idx="98">
                  <c:v>1.2</c:v>
                </c:pt>
                <c:pt idx="99">
                  <c:v>1.2</c:v>
                </c:pt>
                <c:pt idx="100">
                  <c:v>1.2</c:v>
                </c:pt>
                <c:pt idx="101">
                  <c:v>1.2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1.2</c:v>
                </c:pt>
                <c:pt idx="151">
                  <c:v>1.2</c:v>
                </c:pt>
                <c:pt idx="152">
                  <c:v>1.2</c:v>
                </c:pt>
                <c:pt idx="153">
                  <c:v>1.2</c:v>
                </c:pt>
                <c:pt idx="154">
                  <c:v>1.2</c:v>
                </c:pt>
                <c:pt idx="155">
                  <c:v>1.2</c:v>
                </c:pt>
                <c:pt idx="156">
                  <c:v>1.2</c:v>
                </c:pt>
                <c:pt idx="157">
                  <c:v>1.2</c:v>
                </c:pt>
                <c:pt idx="158">
                  <c:v>1.2</c:v>
                </c:pt>
                <c:pt idx="159">
                  <c:v>1.2</c:v>
                </c:pt>
                <c:pt idx="160">
                  <c:v>1.2</c:v>
                </c:pt>
                <c:pt idx="161">
                  <c:v>1.2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1.2</c:v>
                </c:pt>
                <c:pt idx="194">
                  <c:v>1.2</c:v>
                </c:pt>
                <c:pt idx="195">
                  <c:v>1.2</c:v>
                </c:pt>
                <c:pt idx="196">
                  <c:v>1.2</c:v>
                </c:pt>
                <c:pt idx="197">
                  <c:v>1.2</c:v>
                </c:pt>
                <c:pt idx="198">
                  <c:v>1.2</c:v>
                </c:pt>
                <c:pt idx="199">
                  <c:v>1.2</c:v>
                </c:pt>
                <c:pt idx="200">
                  <c:v>1.2</c:v>
                </c:pt>
                <c:pt idx="201">
                  <c:v>1.2</c:v>
                </c:pt>
                <c:pt idx="202">
                  <c:v>1.2</c:v>
                </c:pt>
                <c:pt idx="203">
                  <c:v>1.2</c:v>
                </c:pt>
                <c:pt idx="204">
                  <c:v>1.2</c:v>
                </c:pt>
                <c:pt idx="205">
                  <c:v>1.2</c:v>
                </c:pt>
                <c:pt idx="206">
                  <c:v>1.2</c:v>
                </c:pt>
                <c:pt idx="207">
                  <c:v>1.2</c:v>
                </c:pt>
                <c:pt idx="208">
                  <c:v>1.2</c:v>
                </c:pt>
                <c:pt idx="209">
                  <c:v>1.2</c:v>
                </c:pt>
                <c:pt idx="210">
                  <c:v>1.2</c:v>
                </c:pt>
                <c:pt idx="211">
                  <c:v>1.2</c:v>
                </c:pt>
                <c:pt idx="212">
                  <c:v>1.2</c:v>
                </c:pt>
                <c:pt idx="213">
                  <c:v>1.2</c:v>
                </c:pt>
                <c:pt idx="214">
                  <c:v>1.2</c:v>
                </c:pt>
                <c:pt idx="215">
                  <c:v>1.2</c:v>
                </c:pt>
                <c:pt idx="216">
                  <c:v>1.2</c:v>
                </c:pt>
                <c:pt idx="217">
                  <c:v>1.2</c:v>
                </c:pt>
                <c:pt idx="218">
                  <c:v>1.2</c:v>
                </c:pt>
                <c:pt idx="219">
                  <c:v>1.2</c:v>
                </c:pt>
                <c:pt idx="220">
                  <c:v>1.2</c:v>
                </c:pt>
                <c:pt idx="221">
                  <c:v>1.2</c:v>
                </c:pt>
                <c:pt idx="222">
                  <c:v>1.2</c:v>
                </c:pt>
                <c:pt idx="223">
                  <c:v>1.2</c:v>
                </c:pt>
                <c:pt idx="224">
                  <c:v>1.2</c:v>
                </c:pt>
                <c:pt idx="225">
                  <c:v>1.2</c:v>
                </c:pt>
                <c:pt idx="226">
                  <c:v>1.2</c:v>
                </c:pt>
                <c:pt idx="227">
                  <c:v>1.2</c:v>
                </c:pt>
                <c:pt idx="228">
                  <c:v>1.2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1.2</c:v>
                </c:pt>
                <c:pt idx="233">
                  <c:v>1.2</c:v>
                </c:pt>
                <c:pt idx="234">
                  <c:v>1.2</c:v>
                </c:pt>
                <c:pt idx="235">
                  <c:v>1.2</c:v>
                </c:pt>
                <c:pt idx="236">
                  <c:v>1.2</c:v>
                </c:pt>
                <c:pt idx="237">
                  <c:v>1.2</c:v>
                </c:pt>
                <c:pt idx="238">
                  <c:v>1.2</c:v>
                </c:pt>
                <c:pt idx="239">
                  <c:v>1.2</c:v>
                </c:pt>
                <c:pt idx="240">
                  <c:v>1.2</c:v>
                </c:pt>
                <c:pt idx="241">
                  <c:v>1.2</c:v>
                </c:pt>
                <c:pt idx="242">
                  <c:v>1.2</c:v>
                </c:pt>
                <c:pt idx="243">
                  <c:v>1.2</c:v>
                </c:pt>
                <c:pt idx="244">
                  <c:v>1.2</c:v>
                </c:pt>
                <c:pt idx="245">
                  <c:v>1.2</c:v>
                </c:pt>
                <c:pt idx="246">
                  <c:v>1.2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1.2</c:v>
                </c:pt>
                <c:pt idx="275">
                  <c:v>1.2</c:v>
                </c:pt>
                <c:pt idx="276">
                  <c:v>1.2</c:v>
                </c:pt>
                <c:pt idx="277">
                  <c:v>1.2</c:v>
                </c:pt>
                <c:pt idx="278">
                  <c:v>1.2</c:v>
                </c:pt>
                <c:pt idx="279">
                  <c:v>1.2</c:v>
                </c:pt>
                <c:pt idx="280">
                  <c:v>1.2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1.2</c:v>
                </c:pt>
                <c:pt idx="439">
                  <c:v>1.2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1.2</c:v>
                </c:pt>
                <c:pt idx="460">
                  <c:v>1.2</c:v>
                </c:pt>
                <c:pt idx="461">
                  <c:v>1.2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1.2</c:v>
                </c:pt>
                <c:pt idx="492">
                  <c:v>1.2</c:v>
                </c:pt>
                <c:pt idx="493">
                  <c:v>0</c:v>
                </c:pt>
                <c:pt idx="494">
                  <c:v>0</c:v>
                </c:pt>
                <c:pt idx="495">
                  <c:v>1.2</c:v>
                </c:pt>
                <c:pt idx="496">
                  <c:v>1.2</c:v>
                </c:pt>
                <c:pt idx="497">
                  <c:v>0</c:v>
                </c:pt>
                <c:pt idx="498">
                  <c:v>0</c:v>
                </c:pt>
                <c:pt idx="499">
                  <c:v>1.2</c:v>
                </c:pt>
                <c:pt idx="500">
                  <c:v>1.2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74840064"/>
        <c:axId val="230039552"/>
      </c:barChart>
      <c:catAx>
        <c:axId val="17484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0039552"/>
        <c:crosses val="autoZero"/>
        <c:auto val="1"/>
        <c:lblAlgn val="ctr"/>
        <c:lblOffset val="100"/>
        <c:tickLblSkip val="30"/>
        <c:noMultiLvlLbl val="0"/>
      </c:catAx>
      <c:valAx>
        <c:axId val="230039552"/>
        <c:scaling>
          <c:orientation val="minMax"/>
          <c:max val="2"/>
        </c:scaling>
        <c:delete val="1"/>
        <c:axPos val="l"/>
        <c:numFmt formatCode="General" sourceLinked="1"/>
        <c:majorTickMark val="out"/>
        <c:minorTickMark val="none"/>
        <c:tickLblPos val="nextTo"/>
        <c:crossAx val="174840064"/>
        <c:crosses val="autoZero"/>
        <c:crossBetween val="between"/>
        <c:majorUnit val="1"/>
        <c:minorUnit val="1"/>
      </c:valAx>
    </c:plotArea>
    <c:legend>
      <c:legendPos val="t"/>
      <c:layout>
        <c:manualLayout>
          <c:xMode val="edge"/>
          <c:yMode val="edge"/>
          <c:x val="0.15814338997099048"/>
          <c:y val="4.1180507892930679E-2"/>
          <c:w val="0.68371290490829928"/>
          <c:h val="0.24822118580407374"/>
        </c:manualLayout>
      </c:layout>
      <c:overlay val="0"/>
    </c:legend>
    <c:plotVisOnly val="1"/>
    <c:dispBlanksAs val="gap"/>
    <c:showDLblsOverMax val="0"/>
  </c:chart>
  <c:spPr>
    <a:solidFill>
      <a:sysClr val="window" lastClr="FFFFFF"/>
    </a:solidFill>
  </c:sp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> 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</dc:creator>
  <cp:lastModifiedBy>liqi</cp:lastModifiedBy>
  <cp:revision>3</cp:revision>
  <cp:lastPrinted>2015-02-17T08:11:00Z</cp:lastPrinted>
  <dcterms:created xsi:type="dcterms:W3CDTF">2015-02-17T07:40:00Z</dcterms:created>
  <dcterms:modified xsi:type="dcterms:W3CDTF">2015-02-17T08:12:00Z</dcterms:modified>
</cp:coreProperties>
</file>