
<file path=[Content_Types].xml><?xml version="1.0" encoding="utf-8"?>
<Types xmlns="http://schemas.openxmlformats.org/package/2006/content-types">
  <Default Extension="html" ContentType="text/html"/>
  <Default Extension="png" ContentType="image/png"/>
  <Default Extension="rels" ContentType="application/vnd.openxmlformats-package.relationships+xml"/>
  <Default Extension="xml" ContentType="application/xml"/>
  <Override ContentType="text/html" PartName="/chunk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mc="http://schemas.openxmlformats.org/markup-compatibility/2006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xvml="urn:schemas-microsoft-com:office:excel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建设工程勘察设计资质管理规定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2007年6月26日中华人民共和国建设部令第160号发布，根据2015年5月4日中华人民共和国住房和城乡建设部令第24号《住房和城乡建设部关于修改&lt;房地产开发企业资质管理规定&gt;等部门规章的决定》第一次修正，根据2016年9月13日中华人民共和国住房和城乡建设部令第32号《住房城乡建设部关于修改&lt;勘察设计注册工程师管理规定&gt;等11个部门规章的决定》第二次修正，根据2018年12月22日中华人民共和国住房和城乡建设部令第45号《住房城乡建设部关于修改&lt;建筑业企业资质管理规定&gt;等部门规章的决定》第三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