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住宅专项维修资金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7年12月4日中华人民共和国建设部　中华人民共和国财政部令第165号发布　自2008年2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