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27 OCTUBRE 2026  /  VERSIÓN 2.1.0-rc1</w:t>
      </w:r>
    </w:p>
    <w:p>
      <w:pPr>
        <w:pStyle w:val="Title"/>
      </w:pPr>
      <w:r>
        <w:t>Fichas de cálculo manual</w:t>
      </w:r>
    </w:p>
    <w:p>
      <w:pPr>
        <w:pStyle w:val="Subtitle"/>
      </w:pPr>
      <w:r>
        <w:t>12 procedimientos · Plantillas para resolver y revisar en papel</w:t>
      </w:r>
    </w:p>
    <w:p>
      <w:r>
        <w:drawing>
          <wp:inline xmlns:a="http://schemas.openxmlformats.org/drawingml/2006/main" xmlns:pic="http://schemas.openxmlformats.org/drawingml/2006/picture">
            <wp:extent cx="6120000" cy="18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Hormigón Pre y Postensado · ICIV 1042</w:t>
      </w:r>
    </w:p>
    <w:p>
      <w:r>
        <w:t>Estefanía · Rocío · Pedro · José</w:t>
        <w:br/>
        <w:t>Número de grupo: XX — pendiente de confirmar</w:t>
      </w:r>
    </w:p>
    <w:p>
      <w:pPr>
        <w:pStyle w:val="Heading2"/>
      </w:pPr>
      <w:r>
        <w:t>Estado de este documento</w:t>
      </w:r>
    </w:p>
    <w:p>
      <w:r>
        <w:t>Borrador técnico preparado con asistencia de IA. Resultados automáticos ejecutados y trazables. Validación manual, contribuciones individuales y adopción del criterio normativo pendientes de revisión del equipo.</w:t>
      </w:r>
    </w:p>
    <w:p>
      <w:r>
        <w:t>La fecha 27 de octubre sigue la corrección indicada por el equipo, frente al 29 de octubre que figura en la pauta.</w:t>
      </w:r>
    </w:p>
    <w:p>
      <w:r>
        <w:br w:type="page"/>
      </w:r>
    </w:p>
    <w:p>
      <w:pPr>
        <w:pStyle w:val="Heading1"/>
      </w:pPr>
      <w:r>
        <w:t>Cómo utilizar estas fichas</w:t>
      </w:r>
    </w:p>
    <w:p>
      <w:r>
        <w:t>Imprimir las dos páginas de cada ficha. Resolver físicamente el cálculo con datos trazables y un esquema propio; continuar en hojas numeradas cuando haga falta. No completar los espacios con resultados automáticos como si fueran desarrollo manual.</w:t>
      </w:r>
    </w:p>
    <w:p>
      <w:r>
        <w:t>La primera página fija objetivo, esquema orientativo, datos, hipótesis, signos y ecuaciones. La segunda registra sustitución, operaciones con unidades, interpretación, contraste con el programa y revisión. Los valores de contraste impresos son ayudas de revisión, no resultados obtenidos a mano por estudiantes.</w:t>
      </w:r>
    </w:p>
    <w:p>
      <w:r>
        <w:t>Para F02 repetir las tres variantes T, I y hueca usando las dimensiones visibles en la aplicación. Para F05 resolver x=0, L/4 y L/2 y al menos tres fibras, separando la advertencia de extremo. Para F12 repetir SI/USCS y una etapa de transferencia y otra de servicio. Identificar cada hoja adicional y anexar fotografía original.</w:t>
      </w:r>
    </w:p>
    <w:p>
      <w:r>
        <w:t>Antes de firmar, el revisor debe comprobar al menos una operación de manera independiente. Registrar fecha y evidencia. Todos los estados de este cuaderno parten como PENDIENTE DE VALIDACIÓN MANUAL. Las responsabilidades propuestas están en contribuciones.md.</w:t>
      </w:r>
    </w:p>
    <w:p>
      <w:pPr>
        <w:pStyle w:val="Heading2"/>
      </w:pPr>
      <w:r>
        <w:t>Datos comunes para A ampliado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b/>
                <w:sz w:val="17"/>
              </w:rPr>
              <w:t>Magnitud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/>
                <w:sz w:val="17"/>
              </w:rPr>
              <w:t>Valor SI / equivalente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L, b, h, 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10 m; 0.4 m; 0.8 m; −0.2 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P0, Ap, γ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1 000 000 N; 0.0007 m²; 25 000 N/m³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fci, fc; qD, qL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35 MPa; 45 MPa; 0; 5 kN/m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Ep, Eci, Ec, H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195 GPa; 30 GPa; 34 GPa; 70%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fpu, fpy, fy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1860 MPa; 1674 MPa; 420 MPa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Estribos / cordón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 w:val="0"/>
                <w:sz w:val="17"/>
              </w:rPr>
              <w:t>2 ramas Ø8 mm a 200 mm / Ø12.7 mm</w:t>
            </w:r>
          </w:p>
        </w:tc>
      </w:tr>
    </w:tbl>
    <w:p/>
    <w:p>
      <w:r>
        <w:t>Estos datos nuevos son hipótesis de demostración. Anotar al reemplazarlos la fuente real y repetir la ejecución; los resultados impresos dejarán de ser los de la nueva viga.</w:t>
      </w:r>
    </w:p>
    <w:p>
      <w:r>
        <w:br w:type="page"/>
      </w:r>
    </w:p>
    <w:p>
      <w:pPr>
        <w:pStyle w:val="Heading1"/>
      </w:pPr>
      <w:r>
        <w:t>F01 · Rectángulo, peso y módulos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rectángulo, peso y módulos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A=bh; I=bh³/12; W=I/c; g=γA</w:t>
      </w:r>
    </w:p>
    <w:p>
      <w:r>
        <w:t>Geometría elemental y estática. Caso A del informe de septiembre; docs/formulas.md.</w:t>
      </w:r>
    </w:p>
    <w:p>
      <w:pPr>
        <w:pStyle w:val="Caption"/>
      </w:pPr>
      <w:r>
        <w:t>Función responsable (src.): sections.rectangular.calculate_rectangular_properties</w:t>
      </w:r>
    </w:p>
    <w:p>
      <w:r>
        <w:br w:type="page"/>
      </w:r>
    </w:p>
    <w:p>
      <w:pPr>
        <w:pStyle w:val="Heading1"/>
      </w:pPr>
      <w:r>
        <w:t>F01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A: A=.32 m²; I=.017066666667 m⁴; W=.042666666667 m³; g=8 kN/m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test_rectangular_properties. Su aprobación no acredita revisión humana.</w:t>
      </w:r>
    </w:p>
    <w:p>
      <w:r>
        <w:br w:type="page"/>
      </w:r>
    </w:p>
    <w:p>
      <w:pPr>
        <w:pStyle w:val="Heading1"/>
      </w:pPr>
      <w:r>
        <w:t>F02 · Secciones T/I/hueca, centroide y vacíos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secciones t/i/hueca, centroide y vacíos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A=ΣAi; Y=ΣAiYi/A; I=Σ(Ii+Ai di²)</w:t>
      </w:r>
    </w:p>
    <w:p>
      <w:r>
        <w:t>Teorema de ejes paralelos; plantillas de src/sections/composite.py. Variantes T/I/hueca obligatorias.</w:t>
      </w:r>
    </w:p>
    <w:p>
      <w:pPr>
        <w:pStyle w:val="Caption"/>
      </w:pPr>
      <w:r>
        <w:t>Función responsable (src.): sections.composite.component_properties; template; contains_concrete; tendon_eccentricity</w:t>
      </w:r>
    </w:p>
    <w:p>
      <w:r>
        <w:br w:type="page"/>
      </w:r>
    </w:p>
    <w:p>
      <w:pPr>
        <w:pStyle w:val="Heading1"/>
      </w:pPr>
      <w:r>
        <w:t>F02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T: A=.1408 m²; Y=.501818181818 m; I=.008343427879 m⁴. Repetir I y hueca con las plantillas de la app.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test_equilibrium; test_invalid_components; test_void_and_loads_and_selection. Su aprobación no acredita revisión humana.</w:t>
      </w:r>
    </w:p>
    <w:p>
      <w:r>
        <w:br w:type="page"/>
      </w:r>
    </w:p>
    <w:p>
      <w:pPr>
        <w:pStyle w:val="Heading1"/>
      </w:pPr>
      <w:r>
        <w:t>F03 · Sección neta y transformada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sección neta y transformada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An=Ag−Ap; At=Ag+(n−1)Ap; n=Ep/Ec; Y=ΣAiYi/A; I=Σ(Ii+Ai di²)</w:t>
      </w:r>
    </w:p>
    <w:p>
      <w:r>
        <w:t>Homogeneización elástica por relación modular. Acero concentrado; sin inercia propia ni ductos.</w:t>
      </w:r>
    </w:p>
    <w:p>
      <w:pPr>
        <w:pStyle w:val="Caption"/>
      </w:pPr>
      <w:r>
        <w:t>Función responsable (src.): sections.transformed.transformed_rectangular</w:t>
      </w:r>
    </w:p>
    <w:p>
      <w:r>
        <w:br w:type="page"/>
      </w:r>
    </w:p>
    <w:p>
      <w:pPr>
        <w:pStyle w:val="Heading1"/>
      </w:pPr>
      <w:r>
        <w:t>F03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A: An=.3193 m²; n=195/34. Acero concentrado; propiedades auxiliares.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test_transformed_concentrated_steel. Su aprobación no acredita revisión humana.</w:t>
      </w:r>
    </w:p>
    <w:p>
      <w:r>
        <w:br w:type="page"/>
      </w:r>
    </w:p>
    <w:p>
      <w:pPr>
        <w:pStyle w:val="Heading1"/>
      </w:pPr>
      <w:r>
        <w:t>F04 · Reacciones, corte y momento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reacciones, corte y momento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R=wL/2; V=R−wx; M=Rx−wx²/2; Mmax=wL²/8</w:t>
      </w:r>
    </w:p>
    <w:p>
      <w:r>
        <w:t>Equilibrio estático de viga simplemente apoyada; caso base y guía ejercicio 2 para corte local.</w:t>
      </w:r>
    </w:p>
    <w:p>
      <w:pPr>
        <w:pStyle w:val="Caption"/>
      </w:pPr>
      <w:r>
        <w:t>Función responsable (src.): analysis.elastic.uniform_load_effects; generate_beam_diagram; pipeline.stage_at; diagrams</w:t>
      </w:r>
    </w:p>
    <w:p>
      <w:r>
        <w:br w:type="page"/>
      </w:r>
    </w:p>
    <w:p>
      <w:pPr>
        <w:pStyle w:val="Heading1"/>
      </w:pPr>
      <w:r>
        <w:t>F04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 histórico: Rtr=40 kN; Mtr=100 kN m; Rs=65 kN; Ms=162.5 kN m.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test_equilibrium; test_manual_validation. Su aprobación no acredita revisión humana.</w:t>
      </w:r>
    </w:p>
    <w:p>
      <w:r>
        <w:br w:type="page"/>
      </w:r>
    </w:p>
    <w:p>
      <w:pPr>
        <w:pStyle w:val="Heading1"/>
      </w:pPr>
      <w:r>
        <w:t>F05 · Superposición y campo de tensiones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superposición y campo de tensiones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σ=−P/A−(Pe+M)y/I; y0=−(−P/A)/(−(Pe+M)/I)</w:t>
      </w:r>
    </w:p>
    <w:p>
      <w:r>
        <w:t>Superposición elástica no fisurada; Bernoulli. Fuera de la zona de transferencia. Vacío no es hormigón.</w:t>
      </w:r>
    </w:p>
    <w:p>
      <w:pPr>
        <w:pStyle w:val="Caption"/>
      </w:pPr>
      <w:r>
        <w:t>Función responsable (src.): analysis.elastic.calculate_elastic_stresses; pipeline.stresses; fiber_at; stress_profile; stress_field; stress_scale; selected_coordinates</w:t>
      </w:r>
    </w:p>
    <w:p>
      <w:r>
        <w:br w:type="page"/>
      </w:r>
    </w:p>
    <w:p>
      <w:pPr>
        <w:pStyle w:val="Heading1"/>
      </w:pPr>
      <w:r>
        <w:t>F05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 histórico centro: transferencia sup/inf −.78125/−5.46875 MPa; servicio −2.48046875/−2.83203125 MPa. Contrastar tres x y tres fibras.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test_equilibrium; test_void_and_loads_and_selection; test_migration_against_original_javascript. Su aprobación no acredita revisión humana.</w:t>
      </w:r>
    </w:p>
    <w:p>
      <w:r>
        <w:br w:type="page"/>
      </w:r>
    </w:p>
    <w:p>
      <w:pPr>
        <w:pStyle w:val="Heading1"/>
      </w:pPr>
      <w:r>
        <w:t>F06 · Fuerzas y pérdidas por mecanismo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fuerzas y pérdidas por mecanismo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Pe=(1−r)P0 en modo declarado; ES=n[P0 k+Mg e/I]/(1+nAp k); k=1/A+e²/I; SH=(17−.15H) ksi; CR=max(0,12fcgp−7fcdp); RE=max(0,.3[20ksi−.4ES−.2(SH+CR)]); Pt=P0−Ap ES; Pe=Pt−Ap(SH+CR+RE)</w:t>
      </w:r>
    </w:p>
    <w:p>
      <w:r>
        <w:t>FHWA-NHI-04-043 (2003), Design Step 5.4. Método histórico de pretesado recto, una etapa y baja relajación.</w:t>
      </w:r>
    </w:p>
    <w:p>
      <w:pPr>
        <w:pStyle w:val="Caption"/>
      </w:pPr>
      <w:r>
        <w:t>Función responsable (src.): analysis.pipeline.effective_force; prestress.losses.calculate_losses</w:t>
      </w:r>
    </w:p>
    <w:p>
      <w:r>
        <w:br w:type="page"/>
      </w:r>
    </w:p>
    <w:p>
      <w:pPr>
        <w:pStyle w:val="Heading1"/>
      </w:pPr>
      <w:r>
        <w:t>F06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 ampliado ES=27.251591264; SH=44.815922406; CR=50.310630026; RE=32.390759661 MPa; Pt=980.923886 kN; Pe=891.661768 kN. No aplicar 15% adicional.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test_loss_equilibrium_and_no_double_counting; test_centered_tendon_closed_form; test_humidity_sensitivity. Su aprobación no acredita revisión humana.</w:t>
      </w:r>
    </w:p>
    <w:p>
      <w:r>
        <w:br w:type="page"/>
      </w:r>
    </w:p>
    <w:p>
      <w:pPr>
        <w:pStyle w:val="Heading1"/>
      </w:pPr>
      <w:r>
        <w:t>F07 · Envolvente y límites de tensiones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envolvente y límites de tensiones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Evaluar x=lt,L/2,L−lt; lt=50db. Compresión ≤.6fci transferencia; ≤.6fc total; ≤.45fc permanente. Tracción ≤.25√fci transferencia; objetivo U ≤.7√fc; acero ≤min(.74fpu,.82fpy)</w:t>
      </w:r>
    </w:p>
    <w:p>
      <w:r>
        <w:t>CIRSOC 201-2005, 18.3.3, 18.4.1–2, 18.5.1. Adopción docente pendiente.</w:t>
      </w:r>
    </w:p>
    <w:p>
      <w:pPr>
        <w:pStyle w:val="Caption"/>
      </w:pPr>
      <w:r>
        <w:t>Función responsable (src.): checks.engineering.evaluate</w:t>
      </w:r>
    </w:p>
    <w:p>
      <w:r>
        <w:br w:type="page"/>
      </w:r>
    </w:p>
    <w:p>
      <w:pPr>
        <w:pStyle w:val="Heading1"/>
      </w:pPr>
      <w:r>
        <w:t>F07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 ampliado: acero 1401.319837 MPa frente a 1372.68 MPa: NO CUMPLE. Raíces con fc en MPa. Extremos no verificados.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test_no_global_pass_and_real_noncompliance; test_reports_use_real_losses_and_states. Su aprobación no acredita revisión humana.</w:t>
      </w:r>
    </w:p>
    <w:p>
      <w:r>
        <w:br w:type="page"/>
      </w:r>
    </w:p>
    <w:p>
      <w:pPr>
        <w:pStyle w:val="Heading1"/>
      </w:pPr>
      <w:r>
        <w:t>F08 · Descompresión, fisuración y carga última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descompresión, fisuración y carga última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Mdec=Pe(W/A−e); Mcr=Mdec+.7√fc W; wu=max(1.4D,1.2D+1.6L); Mu=wu L²/8</w:t>
      </w:r>
    </w:p>
    <w:p>
      <w:r>
        <w:t>CIRSOC 201-2005, 9.2 y 18.8.2; descompresión por tensión nula. Sin acciones laterales.</w:t>
      </w:r>
    </w:p>
    <w:p>
      <w:pPr>
        <w:pStyle w:val="Caption"/>
      </w:pPr>
      <w:r>
        <w:t>Función responsable (src.): checks.engineering.evaluate</w:t>
      </w:r>
    </w:p>
    <w:p>
      <w:r>
        <w:br w:type="page"/>
      </w:r>
    </w:p>
    <w:p>
      <w:pPr>
        <w:pStyle w:val="Heading1"/>
      </w:pPr>
      <w:r>
        <w:t>F08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 ampliado Mu=220 kN m; Mcr=497.57228 kN m; φMn≥1.2Mcr.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test_reports_use_real_losses_and_states; test_no_global_pass_and_real_noncompliance. Su aprobación no acredita revisión humana.</w:t>
      </w:r>
    </w:p>
    <w:p>
      <w:r>
        <w:br w:type="page"/>
      </w:r>
    </w:p>
    <w:p>
      <w:pPr>
        <w:pStyle w:val="Heading1"/>
      </w:pPr>
      <w:r>
        <w:t>F09 · Flexión resistente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flexión resistente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β1=max(.65,.85−.05max(fc−30,0)/7); ρ=Ap/(b dp); fps=fpu[1−(γp/β1)ρ fpu/fc]; a=Ap fps/(.85fc b); c=a/β1; ε=.003(dp−c)/c; Mn=Ap fps(dp−a/2)</w:t>
      </w:r>
    </w:p>
    <w:p>
      <w:r>
        <w:t>CIRSOC 201-2005, 18.7.2(a), 10.2.7, 9.3.2.1. Sin acero pasivo; dominio aproximado restringido. Las guías de clases desarrollan además compatibilidad iterativa (aún no implementada); ver contraste_material_docente.md.</w:t>
      </w:r>
    </w:p>
    <w:p>
      <w:pPr>
        <w:pStyle w:val="Caption"/>
      </w:pPr>
      <w:r>
        <w:t>Función responsable (src.): checks.engineering.rectangular_flexure</w:t>
      </w:r>
    </w:p>
    <w:p>
      <w:r>
        <w:br w:type="page"/>
      </w:r>
    </w:p>
    <w:p>
      <w:pPr>
        <w:pStyle w:val="Heading1"/>
      </w:pPr>
      <w:r>
        <w:t>F09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 ampliado: fps=1775.481282 MPa; a=.08123117 m; c=.10934965 m; φMn=625.701232 kN m. φ=.9; ε≥.005 y fpe≥.5fpu.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test_flexure_independent_equilibrium; test_limits_not_silently_accepted. Su aprobación no acredita revisión humana.</w:t>
      </w:r>
    </w:p>
    <w:p>
      <w:r>
        <w:br w:type="page"/>
      </w:r>
    </w:p>
    <w:p>
      <w:pPr>
        <w:pStyle w:val="Heading1"/>
      </w:pPr>
      <w:r>
        <w:t>F10 · Corte y armadura transversal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corte y armadura transversal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d=max(dp,.8h); Vu=wu(L/2−d); Vc=[√fc/20+5 min(Vu dp/M,1)]bd; límites √fc bd/6 y .4√fc bd; Vs=Av fy d/s; φVn=.75(Vc+Vs); mínimo Av/s=max(√fc/16,.33)b/fy; smax=min(.75h,.4m)</w:t>
      </w:r>
    </w:p>
    <w:p>
      <w:r>
        <w:t>CIRSOC 201-2005, 11.4.2/4, 11.5.5–7, 9.3.2.3. Guía UNaM, ejercicio 2, p.4.</w:t>
      </w:r>
    </w:p>
    <w:p>
      <w:pPr>
        <w:pStyle w:val="Caption"/>
      </w:pPr>
      <w:r>
        <w:t>Función responsable (src.): checks.engineering.shear_capacity; evaluate</w:t>
      </w:r>
    </w:p>
    <w:p>
      <w:r>
        <w:br w:type="page"/>
      </w:r>
    </w:p>
    <w:p>
      <w:pPr>
        <w:pStyle w:val="Heading1"/>
      </w:pPr>
      <w:r>
        <w:t>F10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B2: Vu=360.192 kN; M=.3053568 MN m; Vc=701.084874 kN; Av/s mínimo=326.025332 mm²/m. Revisar cap Vcw y reducción en extremo.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test_source_shear_control; test_limits_not_silently_accepted. Su aprobación no acredita revisión humana.</w:t>
      </w:r>
    </w:p>
    <w:p>
      <w:r>
        <w:br w:type="page"/>
      </w:r>
    </w:p>
    <w:p>
      <w:pPr>
        <w:pStyle w:val="Heading1"/>
      </w:pPr>
      <w:r>
        <w:t>F11 · Flecha instantánea y contraflecha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flecha instantánea y contraflecha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δg=5wL⁴/(384EcI); δp=Pe e L²/(8EcI); δ=δg+δp; δL≤L/divisor</w:t>
      </w:r>
    </w:p>
    <w:p>
      <w:r>
        <w:t>Integración de curvatura y trabajo virtual. CIRSOC 201-2005 9.5.4; L/360 como criterio ilustrativo pendiente.</w:t>
      </w:r>
    </w:p>
    <w:p>
      <w:pPr>
        <w:pStyle w:val="Caption"/>
      </w:pPr>
      <w:r>
        <w:t>Función responsable (src.): checks.engineering.elastic_deflections; evaluate</w:t>
      </w:r>
    </w:p>
    <w:p>
      <w:r>
        <w:br w:type="page"/>
      </w:r>
    </w:p>
    <w:p>
      <w:pPr>
        <w:pStyle w:val="Heading1"/>
      </w:pPr>
      <w:r>
        <w:t>F11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A ampliado: δtr=−2.755162 mm; δs=−.924482 mm; δL=1.121970 mm. Positivo abajo; contraflecha negativa. Diferida pendiente.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test_deflection_independent_curvature_integral; test_no_global_pass_and_real_noncompliance. Su aprobación no acredita revisión humana.</w:t>
      </w:r>
    </w:p>
    <w:p>
      <w:r>
        <w:br w:type="page"/>
      </w:r>
    </w:p>
    <w:p>
      <w:pPr>
        <w:pStyle w:val="Heading1"/>
      </w:pPr>
      <w:r>
        <w:t>F12 · Unidades, etapas y reproducción</w:t>
      </w:r>
    </w:p>
    <w:p>
      <w:pPr>
        <w:pStyle w:val="Subtitle"/>
      </w:pPr>
      <w:r>
        <w:t>ESTADO INICIAL: PENDIENTE DE RESOLUCIÓN Y REVISIÓN MANUAL</w:t>
      </w:r>
    </w:p>
    <w:p>
      <w:pPr>
        <w:pStyle w:val="Heading2"/>
      </w:pPr>
      <w:r>
        <w:t>1. Objetivo</w:t>
      </w:r>
    </w:p>
    <w:p>
      <w:r>
        <w:t>Desarrollar unidades, etapas y reproducción desde datos y ecuaciones, justificar el dominio y contrastar el resultado con el núcleo de PRE/POST 2.0.</w:t>
      </w:r>
    </w:p>
    <w:p>
      <w:pPr>
        <w:pStyle w:val="Heading2"/>
      </w:pPr>
      <w:r>
        <w:t>2. Esquema del sistema</w:t>
      </w:r>
    </w:p>
    <w:p>
      <w:r>
        <w:drawing>
          <wp:inline xmlns:a="http://schemas.openxmlformats.org/drawingml/2006/main" xmlns:pic="http://schemas.openxmlformats.org/drawingml/2006/picture">
            <wp:extent cx="5616000" cy="168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orientativo A. Redibujar y ajustar cotas, cargas, sección y fibras al caso utilizado. En B2: L=15 m, b=.4 m, h=.9 m, dp=.8 m.</w:t>
      </w:r>
    </w:p>
    <w:p>
      <w:pPr>
        <w:pStyle w:val="Heading2"/>
      </w:pPr>
      <w:r>
        <w:t>3–5. Datos, hipótesis y signos</w:t>
      </w:r>
    </w:p>
    <w:p>
      <w:r>
        <w:t>Datos: caso A común, salvo B2 de corte. Para F01/F04/F05 históricos usar pérdida declarada 15%; para nuevas pérdidas usar A ampliado. Escribir el nombre exacto del ejemplo y procedencia de cada dato.</w:t>
        <w:br/>
        <w:t>Modelo: prisma apoyado, carga uniforme, un nivel adherente, hormigón no fisurado; añadir restricciones específicas. Compresión negativa, e/y hacia arriba, M sagante positivo; flecha positiva abajo.</w:t>
      </w:r>
    </w:p>
    <w:p>
      <w:pPr>
        <w:pStyle w:val="Heading2"/>
      </w:pPr>
      <w:r>
        <w:t>6. Fórmulas y justificación</w:t>
      </w:r>
    </w:p>
    <w:p>
      <w:r>
        <w:t>SI: m,N,Pa; 1 MPa=10⁶ Pa; 1 mm²=10⁻⁶ m²; 1 kN m=1000 N m. Δ=|manual−app|; εr=Δ/|manual| si no nulo</w:t>
      </w:r>
    </w:p>
    <w:p>
      <w:r>
        <w:t>Contrato SI y conversiones de src/units.py; caso A histórico y ampliado claramente separados.</w:t>
      </w:r>
    </w:p>
    <w:p>
      <w:pPr>
        <w:pStyle w:val="Caption"/>
      </w:pPr>
      <w:r>
        <w:t>Función responsable (src.): units.to_si; from_si; analysis.pipeline.analyze; analysis.memory.calculation_memory; reporting.design.design_memory</w:t>
      </w:r>
    </w:p>
    <w:p>
      <w:r>
        <w:br w:type="page"/>
      </w:r>
    </w:p>
    <w:p>
      <w:pPr>
        <w:pStyle w:val="Heading1"/>
      </w:pPr>
      <w:r>
        <w:t>F12 · Desarrollo y contraste</w:t>
      </w:r>
    </w:p>
    <w:p>
      <w:r>
        <w:t>Caso / variante: _______________________   Fecha: ______________</w:t>
      </w:r>
    </w:p>
    <w:p>
      <w:pPr>
        <w:pStyle w:val="Heading2"/>
      </w:pPr>
      <w:r>
        <w:t>7–8. Sustitución y operaciones con unidades</w:t>
      </w:r>
    </w:p>
    <w:p>
      <w:r>
        <w:t>Escribir cada sustitución; no omitir conversiones MPa↔Pa, mm²↔m² o signos. Numerar hojas adicionales. Si se usa B2, registrar wu=53.76 kN/m, fc=30 MPa, fy=420 MPa y estribos 2Ø8 a 250 mm.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9. Resultado manual e interpretación</w:t>
      </w:r>
    </w:p>
    <w:p>
      <w:r>
        <w:t>Resultado y unidad: _________________________________________________________</w:t>
        <w:br/>
        <w:t>Sentido físico / límite de validez: _______________________________________________</w:t>
      </w:r>
    </w:p>
    <w:p>
      <w:pPr>
        <w:pStyle w:val="Heading2"/>
      </w:pPr>
      <w:r>
        <w:t>10. Resultado del programa y referencia de control</w:t>
      </w:r>
    </w:p>
    <w:p>
      <w:r>
        <w:t>Misma viga SI/USCS; resultados físicos invariantes. Repetir memoria en x=L/2 y x=L/4; firmas y archivos de evidencia pendientes.</w:t>
      </w:r>
    </w:p>
    <w:p>
      <w:r>
        <w:t>Resultado de ejecución propia / archivo: _________________________________________</w:t>
      </w:r>
    </w:p>
    <w:p>
      <w:pPr>
        <w:pStyle w:val="Heading2"/>
      </w:pPr>
      <w:r>
        <w:t>11–12. Diferencia y conclusión</w:t>
      </w:r>
    </w:p>
    <w:p>
      <w:r>
        <w:t>Δ absoluta=|manual−app|: _____________  Relativa=Δ/|manual|: _____________</w:t>
        <w:br/>
        <w:t>Si manual=0, usar solo error absoluto. Explicación de discrepancia, unidades, redondeo o criterio:</w:t>
        <w:br/>
        <w:t>____________________________________________________________________________</w:t>
      </w:r>
    </w:p>
    <w:p>
      <w:pPr>
        <w:pStyle w:val="Heading2"/>
      </w:pPr>
      <w:r>
        <w:t>13. Autoría, revisión y evidencia original</w:t>
      </w:r>
    </w:p>
    <w:p>
      <w:r>
        <w:t>Desarrolló: _________________________  Revisó: _________________________</w:t>
        <w:br/>
        <w:t>Evidencia (foto/escaneo/hoja): _______________________  Fecha revisión: __________</w:t>
        <w:br/>
        <w:t>Estado después de revisión: ________________________  Observaciones: ___________</w:t>
      </w:r>
    </w:p>
    <w:p>
      <w:pPr>
        <w:pStyle w:val="Caption"/>
      </w:pPr>
      <w:r>
        <w:t>Prueba automática asociada: test_conversion_roundtrip; test_units_known_and_bad_inputs; test_new_interface_and_invalidation; test_exports_numeric_and_readable. Su aprobación no acredita revisión humana.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Borrador para revisión · 27-10-2026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PRE/POST 2.0  •  ICIV 1042  •  ENTREGA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834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4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834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1834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PRE/POST 2.0 — Fichas de cálculo manual</dc:title>
  <dc:subject/>
  <dc:creator>PRE/POST 2.0 — borrador asistido por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