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t>[ТИТУЛЬНЫЙ ЛИСТ]</w:t>
        <w:br/>
        <w:br/>
        <w:t>На первой странице располагается титульный лист с подписью руководителя практики (вставляется как изображение/фото).</w:t>
        <w:br/>
        <w:br/>
        <w:t>Раздел оформляется по шаблону вуза.</w:t>
      </w:r>
    </w:p>
    <w:p>
      <w:r>
        <w:br w:type="page"/>
      </w:r>
    </w:p>
    <w:p>
      <w:pPr/>
      <w:r>
        <w:t>СОДЕРЖАНИЕ</w:t>
      </w:r>
    </w:p>
    <w:p>
      <w:pPr/>
      <w:r>
        <w:t>ВВЕДЕНИЕ ............................................................ 3</w:t>
      </w:r>
    </w:p>
    <w:p>
      <w:pPr/>
      <w:r>
        <w:t>ПОСТАНОВКА ЗАДАЧИ .................................................. 4</w:t>
      </w:r>
    </w:p>
    <w:p>
      <w:pPr/>
      <w:r>
        <w:t>РАЗРАБОТКА АЛГОРИТМА МАШИННОГО ОБУЧЕНИЯ</w:t>
      </w:r>
    </w:p>
    <w:p>
      <w:pPr/>
      <w:r>
        <w:t>ДЛЯ ЗАДАЧ РЕКОНСТРУКЦИИ MPI-ИЗОБРАЖЕНИЙ ............................ 5</w:t>
      </w:r>
    </w:p>
    <w:p>
      <w:pPr/>
      <w:r>
        <w:t xml:space="preserve">   1. Физическая модель MPI и постановка обратной задачи .......... 5</w:t>
      </w:r>
    </w:p>
    <w:p>
      <w:pPr/>
      <w:r>
        <w:t xml:space="preserve">   2. Подход PMCNet: реализация в соответствии со статьёй ......... 7</w:t>
      </w:r>
    </w:p>
    <w:p>
      <w:pPr/>
      <w:r>
        <w:t xml:space="preserve">   3. Улучшение физической модели прямого оператора ............... 9</w:t>
      </w:r>
    </w:p>
    <w:p>
      <w:pPr/>
      <w:r>
        <w:t xml:space="preserve">   4. Нейросетевые улучшения: релаксация Дебая, multi-color, TV . 11</w:t>
      </w:r>
    </w:p>
    <w:p>
      <w:pPr/>
      <w:r>
        <w:t xml:space="preserve">   5. Два пути генерации синтетических данных .................... 13</w:t>
      </w:r>
    </w:p>
    <w:p>
      <w:pPr/>
      <w:r>
        <w:t xml:space="preserve">   6. Mixture of Experts для комбинирования моделей .............. 15</w:t>
      </w:r>
    </w:p>
    <w:p>
      <w:pPr/>
      <w:r>
        <w:t xml:space="preserve">   7. Программная архитектура реализации ......................... 16</w:t>
      </w:r>
    </w:p>
    <w:p>
      <w:pPr/>
      <w:r>
        <w:t xml:space="preserve">   8. Результаты экспериментов и сравнительный анализ ............ 17</w:t>
      </w:r>
    </w:p>
    <w:p>
      <w:pPr/>
      <w:r>
        <w:t>ЗАКЛЮЧЕНИЕ ........................................................ 19</w:t>
      </w:r>
    </w:p>
    <w:p>
      <w:pPr/>
      <w:r>
        <w:t>СПИСОК ЛИТЕРАТУРЫ ................................................. 20</w:t>
      </w:r>
    </w:p>
    <w:p>
      <w:r>
        <w:br w:type="page"/>
      </w:r>
    </w:p>
    <w:p>
      <w:pPr>
        <w:pStyle w:val="Heading1"/>
      </w:pPr>
      <w:r>
        <w:t>ВВЕДЕНИЕ</w:t>
      </w:r>
    </w:p>
    <w:p>
      <w:pPr/>
      <w:r>
        <w:t>Тема преддипломной практики посвящена разработке алгоритма машинного обучения для задач реконструкции изображений в магнитно-частичной томографии (Magnetic Particle Imaging, MPI). Практическая часть работы заключалась в реализации физически-обоснованного нейросетевого подхода к решению некорректной обратной задачи MPI, начиная с воспроизведения недавно опубликованного метода PMCNet (Huang et al., 2026) и заканчивая собственными расширениями, направленными на повышение качества реконструкции и устойчивости к шумам и калибровочным расхождениям.</w:t>
        <w:br/>
        <w:tab/>
        <w:t>Актуальность темы определяется быстрым развитием MPI как высокочувствительного метода визуализации без ионизирующего излучения, способного конкурировать с магнитно-резонансной томографией (МРТ) и компьютерной томографией (КТ) в задачах клеточной терапии, ангиографии и мониторинга воспалительных процессов в реальном времени. Ключевое препятствие на пути клинического внедрения — некорректность обратной задачи: измеряемый сигнал содержит шумы, а матрица системной функции имеет кластер сингулярных чисел, близких к нулю, что приводит к артефактам и потере разрешения при прямом обращении. Классические регуляризационные методы (Тихонов, Качмарц) частично решают эту проблему, но требуют ручной настройки гиперпараметров и не используют априорной информации о структуре биологических изображений.</w:t>
        <w:br/>
        <w:tab/>
        <w:t>Современные нейросетевые подходы, в частности недавно опубликованная физически-ограниченная сеть PMCNet, обеспечивают существенное улучшение качества, при этом не требуя ни предварительной калибровки системной матрицы, ни обширных обучающих выборок. Целью преддипломной практики стала разработка собственной реализации такого алгоритма, его расширение за счёт более точного физического форварда и проверка на синтетических и реальных данных открытого набора OpenMPIData.</w:t>
        <w:br/>
        <w:tab/>
        <w:t>В рамках работы был самостоятельно реализован полный пайплайн от генерации синтетических данных до сравнения с baseline-методами (Tikhonov, Kaczmarz, Chae 2017, Shang 2022, DEQ-MPI 2024), а также проведена интеграция нескольких моделей в общую схему Mixture of Experts (MoE), позволяющую комбинировать сильные стороны разных архитектур через обучаемую гейтинг-сеть.</w:t>
      </w:r>
    </w:p>
    <w:p>
      <w:pPr>
        <w:pStyle w:val="Heading1"/>
      </w:pPr>
      <w:r>
        <w:t>ПОСТАНОВКА ЗАДАЧИ</w:t>
      </w:r>
    </w:p>
    <w:p>
      <w:pPr/>
      <w:r>
        <w:tab/>
        <w:t>Задача преддипломной практики состояла в разработке программной реализации физически-обоснованного нейросетевого алгоритма реконструкции MPI-изображений на основе подхода PMCNet (Huang et al., 2026), его расширении за счёт более точной модели физического форварда и набора нейросетевых улучшений, а также интеграции в единый пайплайн с автоматическим сравнением с baseline-методами на синтетических и реальных данных. Для достижения поставленной цели необходимо было решить следующие подзадачи:</w:t>
      </w:r>
    </w:p>
    <w:p>
      <w:pPr/>
      <w:r>
        <w:t>Реализовать paper-faithful версию PMCNet, точно соответствующую уравнениям статьи (Eq. 1–3): U-Net φ_θ(z), генерирующий концентрацию c, и физический форвард, последовательно вычисляющий поле H_total(r,t), намагниченность M через функцию Ланжевена, производную ∂M/∂t и индуцированный сигнал u(t).</w:t>
      </w:r>
    </w:p>
    <w:p>
      <w:pPr/>
      <w:r>
        <w:t>Усовершенствовать физический форвард за счёт радиальной модели чувствительности приёмной катушки p(r) = 1/(1+(r/R)²), численно-устойчивой функции Ланжевена с разложением Тейлора для малых аргументов, а также центральной конечной разности через фиксированную свёртку Conv1d, реализованной в духе подхода Maxwell-PCNN (Scheinker, Pokharel, 2023).</w:t>
      </w:r>
    </w:p>
    <w:p>
      <w:pPr/>
      <w:r>
        <w:t>Расширить нейросетевую часть за счёт частотного фильтра релаксации Дебая с обучаемым параметром τ через softplus-параметризацию, multi-color-варианта с предсказанием K независимых концентраций по числу типов наночастиц, а также TV-регуляризации для подавления шумовых артефактов.</w:t>
      </w:r>
    </w:p>
    <w:p>
      <w:pPr/>
      <w:r>
        <w:t>Реализовать два независимых пути генерации синтетических данных: через измеренную системную матрицу из открытого набора BeihangUniversityData (реалистичный путь, отражающий реальную калибровку сканера) и через аналитический физический форвард (paper-faithful путь, исключающий рассогласование «измерение–модель»).</w:t>
      </w:r>
    </w:p>
    <w:p>
      <w:pPr/>
      <w:r>
        <w:t>Реализовать схему Mixture of Experts с пространственной гейтинг-сетью, способной обучаемо взвешивать выходы нескольких реконструкторов (Tikhonov, Kaczmarz, Chae, CNN) и формировать комбинированную реконструкцию.</w:t>
      </w:r>
    </w:p>
    <w:p>
      <w:pPr/>
      <w:r>
        <w:t>Провести систематическое сравнение всех методов на батарее из шести 2D-фантомов (две капли, четырёхточечный, повёрнутый крест, кольцо, случайные капли, буква B) по метрикам SSIM, PSNR, FWHM и времени реконструкции; провалидировать результаты на реальных данных открытого набора OpenMPIData.</w:t>
      </w:r>
    </w:p>
    <w:p>
      <w:pPr/>
      <w:r>
        <w:tab/>
        <w:t>Результатом решения задачи должен стать работающий программный пакет с воспроизводимыми результатами, документированный по статьям-источникам, и количественное подтверждение гипотезы о преимуществе физически-обоснованного подхода над baseline-методами.</w:t>
      </w:r>
    </w:p>
    <w:p>
      <w:pPr>
        <w:pStyle w:val="Heading1"/>
      </w:pPr>
      <w:r>
        <w:t>РАЗРАБОТКА АЛГОРИТМА МАШИННОГО ОБУЧЕНИЯ</w:t>
        <w:br/>
        <w:t>ДЛЯ ЗАДАЧ РЕКОНСТРУКЦИИ MPI-ИЗОБРАЖЕНИЙ</w:t>
      </w:r>
    </w:p>
    <w:p>
      <w:pPr>
        <w:pStyle w:val="Heading2"/>
      </w:pPr>
      <w:r>
        <w:t>Физическая модель MPI и постановка обратной задачи</w:t>
      </w:r>
    </w:p>
    <w:p>
      <w:pPr/>
      <w:r>
        <w:t>Магнитно-частичная томография основана на нелинейном отклике суперпарамагнитных наночастиц оксида железа на внешнее переменное магнитное поле. Пространственная локализация достигается за счёт двухкомпонентной конфигурации полей. Селективное поле H_sel(r) = G·r формирует точку, свободную от поля (Field Free Point, FFP), а возбуждающее поле H_exc(t) = A·sin(2π·f·t) заставляет частицы вблизи FFP циклически изменять намагниченность. Двумерное сканирование реализуется через Лиссажу-траекторию r_FFP(t) с двумя несовместными частотами f_x ≠ f_y, обеспечивающую плотное покрытие поля зрения.</w:t>
        <w:br/>
        <w:tab/>
        <w:t>Адиабатическая намагниченность каждой частицы описывается функцией Ланжевена: M(H) = m_sat · L(α·|H|) · ê_H, где L(ξ) = coth(ξ) − 1/ξ, α = μ₀·m/(k_B·T). Индуцированный в приёмной катушке сигнал имеет вид интеграла: u(t) = −μ₀ ∫_Ω c(r) · p(r) · ∂M(r,t)/∂t dr, где c(r) — искомое пространственное распределение концентрации, p(r) — пространственный профиль чувствительности катушки.</w:t>
        <w:br/>
        <w:tab/>
        <w:t>После дискретизации и перехода в частотную область интегральное уравнение сводится к линейной системе u = Ac + n, где A — комплексная системная матрица, n — аддитивный шум. Структура A такова, что столбцы, отвечающие близким вокселям, оказываются почти коллинеарными, и матрица содержит большой кластер сингулярных чисел вблизи нуля. Это означает, что прямое обращение A⁻¹u катастрофически усиливает шум, а сама задача относится к классу некорректных по Адамару.</w:t>
        <w:br/>
        <w:tab/>
        <w:t>Реализованный программный модуль воспроизводит всю цепочку физических операторов в виде дифференцируемых слоёв PyTorch: Лиссажу-траекторию FFP, расчёт H_total, функцию Ланжевена с защитой от численного переполнения, центральную конечную разность по времени через фиксированную свёртку Conv1d, радиальную чувствительность s(r), и интегральную сумму по сетке. Это позволяет применять автоматическое дифференцирование на всех этапах и встраивать физический форвард как блок нейросетевой архитектуры.</w:t>
      </w:r>
    </w:p>
    <w:p>
      <w:pPr>
        <w:pStyle w:val="Heading2"/>
      </w:pPr>
      <w:r>
        <w:t>Подход PMCNet: реализация в соответствии со статьёй</w:t>
      </w:r>
    </w:p>
    <w:p>
      <w:pPr/>
      <w:r>
        <w:t>В качестве архитектурной основы был выбран метод PMCNet, опубликованный в IEEE Transactions on Magnetics в 2026 году. Его ключевая идея состоит в том, чтобы не использовать измеренную системную матрицу (что требует трудоёмкой калибровки сканера), а строить прямой оператор P напрямую из известных физических параметров MPI-системы. Алгоритм работает в режиме data-free: реконструкция выполняется для каждого измерения отдельно через градиентную оптимизацию весов нейронной сети, без предварительного обучения на парах «сигнал–изображение».</w:t>
        <w:br/>
        <w:tab/>
        <w:t>Структурно PMCNet состоит из двух компонентов: генератора-U-Net φ_θ(z), преобразующего фиксированный случайный латент z ∈ N(0,1) в карту концентрации c = φ_θ(z), и физического оператора P, переводящего c в смоделированный сигнал û = P(c). Веса сети θ оптимизируются минимизацией L1-невязки L = ‖û − u_meas‖₁ через оптимизатор Adam с learning rate 10⁻³ и 20000 итераций для каждого измерения. В работе была реализована U-Net-архитектура из четырёх блоков понижения и четырёх блоков повышения разрешения с удалением shallow skip-связей, как указано в статье «to avoid the impact of shallow noise», и сигмоидной активацией на выходе для гарантированной неотрицательности концентрации.</w:t>
        <w:br/>
        <w:tab/>
        <w:t>В paper-faithful версии реализации, точно соответствующей статье, физический форвард использует равномерный профиль чувствительности катушки p(r) ≡ 1 (статья не специфицирует пространственный профиль); forward-difference для производной ∂M/∂t (буквальная форма из дискретизации уравнения); только адиабатическую модель Ланжевена без релаксации Дебая. Эта версия в коде представлена классом `PMCNetPaper`. Для согласованного сравнения дополнительно сохранён baseline-вариант `PMCNetStandard`, использующий измеренную системную матрицу из открытого набора BeihangUniversityData (то есть классический S·c-форвард). Параллельное наличие обеих моделей позволяет количественно оценить, что даёт переход от калибровочного подхода к физически-моделированному.</w:t>
      </w:r>
    </w:p>
    <w:p>
      <w:pPr>
        <w:pStyle w:val="Heading2"/>
      </w:pPr>
      <w:r>
        <w:t>Улучшение физической модели прямого оператора</w:t>
      </w:r>
    </w:p>
    <w:p>
      <w:pPr/>
      <w:r>
        <w:t>Paper-faithful реализация PMCNet, при всей её математической строгости, опирается на ряд упрощений, которые в реальных условиях ограничивают качество реконструкции. На этом этапе работы был разработан расширенный вариант `PMCNetPhysicsEnhanced`, отличающийся от paper-версии исключительно усовершенствованиями физического форварда (нейросетевая часть остаётся идентичной). Внесены три ключевых улучшения, инспирированных подходом Maxwell-PCNN (Scheinker, Pokharel, 2023).</w:t>
        <w:br/>
        <w:tab/>
        <w:t>Первое — переход от равномерной чувствительности p(r) ≡ 1 к радиальной модели p(r) = 1/(1+(r/R_coil)²), отражающей реальный спад чувствительности приёмной катушки на краях поля зрения. Без этой коррекции реконструируемая концентрация на периферии систематически переоценивается, поскольку алгоритм не «знает», что слабый сигнал может быть следствием не только малой концентрации, но и низкой чувствительности.</w:t>
        <w:br/>
        <w:tab/>
        <w:t>Второе — замена forward-difference для ∂M/∂t на центральную конечную разность, реализованную через фиксированный сверточный слой Conv1d с ядром [−1, 0, +1]/(2Δt). Этот приём, заимствованный из Maxwell-PCNN (формулы 12–13), эквивалентен обычной конечной разности, но автоматически совместим с autograd, не требует ручных циклов по сетке и легко переносится на GPU. Точность производной возрастает с O(Δt) до O(Δt²), что особенно важно на длинных Лиссажу-траекториях с тысячами временных отсчётов.</w:t>
        <w:br/>
        <w:tab/>
        <w:t>Третье — численно-устойчивая реализация функции Ланжевена. Прямое вычисление coth(ξ) − 1/ξ при ξ → 0 страдает катастрофическим сокращением в float32: для ξ = 10⁻³ оба слагаемых имеют порядок 10³, а их разность — 3·10⁻⁴, что теряет около шести значащих цифр. Реализованная функция `langevin_safe` использует разложение Тейлора с пятью членами для |ξ| &lt; 0.5, устойчивую форму гиперболического котангенса для |ξ| &gt; 0.5 и асимптотику 1 − 1/|ξ| для |ξ| &gt; 20, обеспечивая точность не хуже 10⁻⁸ во всём диапазоне аргументов. Без этой защиты обучение сети на батч-размере 1 (типичный для data-free режима) регулярно сваливалось в NaN при ξ ≈ 10⁻³, что делало paper-faithful реализацию неработоспособной на типичных параметрах магнитного поля.</w:t>
        <w:br/>
        <w:tab/>
        <w:t>Принципиально важно, что все эти улучшения относятся к классу hard-constraints: каждый шаг физики реализован отдельным дифференцируемым модулем, и закон, заложенный в физическое уравнение, выполняется по построению, а не штрафом в функции потерь. Это прямой архитектурный аналог подхода PCNN (Physics-Constrained Neural Networks), где условие ∇·B = 0 гарантируется конструкцией B = ∇×A.</w:t>
      </w:r>
    </w:p>
    <w:p>
      <w:pPr>
        <w:pStyle w:val="Heading2"/>
      </w:pPr>
      <w:r>
        <w:t>Нейросетевые улучшения: релаксация Дебая, multi-color, TV-регуляризация</w:t>
      </w:r>
    </w:p>
    <w:p>
      <w:pPr/>
      <w:r>
        <w:t>Финальная версия алгоритма, реализованная в классе `PMCNetFinal`, расширяет `PMCNetPhysicsEnhanced` тремя нейросетевыми надстройками, восходящими частично к секции II.C–III статьи PMCNet, частично к собственным разработкам.</w:t>
        <w:br/>
        <w:tab/>
        <w:t>Релаксация Дебая моделирует неадиабатический отклик частиц, который в реальной MPI-системе нельзя пренебречь: магнитная намагниченность не успевает мгновенно реагировать на изменение поля, и появляется конечное время отклика τ. В частотной области этот эффект реализуется как фильтр первого порядка H_τ(f) = 1/(1 + j·2π·f·τ), эквивалентный временной свёртке с экспоненциальным ядром r(t) = (1/τ)·exp(−t/τ). Параметр τ_k реализован как обучаемый через softplus-параметризацию, что гарантирует положительность по построению — то же архитектурное hard-constraint, что и сигмоид на выходе U-Net для c ∈ [0, 1].</w:t>
        <w:br/>
        <w:tab/>
        <w:t>Multi-color-режим позволяет одновременно реконструировать K независимых карт концентрации для разных типов наночастиц с различными временами релаксации τ_k. Сеть выдаёт K каналов c_1, …, c_K; итоговый сигнал получается как сумма U(f) = Σ_k H_τ_k(f) · ForwardOp(c_k). Каждый цвет может относиться, например, к разным размерам частиц или разным микроокружениям, что критично для функциональной MPI-визуализации.</w:t>
        <w:br/>
        <w:tab/>
        <w:t>TV-регуляризация Σ_k λ·∑|∇c_k| добавляется к L1-невязке для подавления высокочастотных шумовых артефактов. Коэффициент λ = 10⁻³ был подобран эмпирически по validation-фантомам как компромисс между сглаживанием шума и сохранением границ объектов.</w:t>
        <w:br/>
        <w:tab/>
        <w:t>Итоговая иерархия моделей в коде образует чёткую четырёхуровневую структуру. `PMCNetStandard` — baseline с измеренной системной матрицей (не из статьи; сохранён для сравнения). `PMCNetPaper` — paper-faithful реализация Eq. 1–3 без улучшений. `PMCNetPhysicsEnhanced` — paper-faithful плюс радиальная p(r), центральная FD, langevin_safe. `PMCNetFinal` — все физические улучшения плюс Debye, multi-color и TV. Все четыре варианта реализуют единый интерфейс `reconstruct(measurement)` и встроены в общую сравнительную таблицу.</w:t>
      </w:r>
    </w:p>
    <w:p>
      <w:pPr>
        <w:pStyle w:val="Heading2"/>
      </w:pPr>
      <w:r>
        <w:t>Два пути генерации синтетических данных</w:t>
      </w:r>
    </w:p>
    <w:p>
      <w:pPr/>
      <w:r>
        <w:t>Для обучения и валидации был реализован модуль генерации синтетических данных с двумя независимыми путями моделирования измерительного процесса.</w:t>
        <w:br/>
        <w:tab/>
        <w:t>Первый путь — через измеренную системную матрицу из открытого набора BeihangUniversityData. Реальный сканер был откалиброван путём последовательного перемещения дельта-фантома по сетке вокселей и записи сигнала в каждом положении; столбцы матрицы S — это спектральные отклики на единичные концентрации в каждом вокселе. Имея фантом c, синтетическое измерение u = Sc + n получается одним матричным умножением. Этот путь моделирует реальные измерительные условия со всеми реальными несовершенствами сканера (отклонения градиентного поля, паразитные гармоники, шум АЦП).</w:t>
        <w:br/>
        <w:tab/>
        <w:t>Второй путь — через аналитический физический форвард, идентичный тому, что используется внутри `PMCNetPhysicsEnhanced`. Этот путь моделирует идеализированную физику без калибровочных артефактов и соответствует условию из статьи PMCNet (Sec. III.A: «In the simulation, u_meas and u use the same physical model for calculation»). Этот путь служит для проверки paper-faithful PMCNet в чистых условиях, когда измерение и модель в loss-функции согласованы.</w:t>
        <w:br/>
        <w:tab/>
        <w:t>Для каждого из шести типов фантомов (две капли, четыре точки, поворот на 45°, кольцо, случайные капли, буква B) генерируются обе версии измерения, поэтому итоговая батарея содержит 12 экспериментов (6 фантомов × 2 пути). Все методы оцениваются на обеих версиях, что позволяет различать ошибки, связанные с моделью, и ошибки, связанные с калибровкой.</w:t>
      </w:r>
    </w:p>
    <w:p>
      <w:pPr>
        <w:pStyle w:val="Heading2"/>
      </w:pPr>
      <w:r>
        <w:t>Mixture of Experts для комбинирования моделей</w:t>
      </w:r>
    </w:p>
    <w:p>
      <w:pPr/>
      <w:r>
        <w:t>После реализации отдельных методов был добавлен модуль Mixture of Experts (MoE), позволяющий объединять выходы нескольких моделей в единую более качественную реконструкцию. Идея MoE состоит в том, чтобы обучить лёгкую гейтинг-сеть, которая для каждого измерения определяет, какому эксперту в большей степени доверять, и формирует выход как взвешенную сумму экспертных реконструкций.</w:t>
        <w:br/>
        <w:tab/>
        <w:t>В реализованной схеме экспертами выступают четыре быстрых метода: Tikhonov-регуляризация, метод Качмарца, однослойный перцептрон Chae 2017 и сверточная CNN-baseline. Перед обучением MoE для тренировочной выборки прекомпилируются выходы каждого эксперта; это делается один раз и кэшируется, что позволяет обучать гейтинг быстро и не пересчитывая дорогие реконструкции.</w:t>
        <w:br/>
        <w:tab/>
        <w:t>Реализованы три режима комбинирования: усреднение по всем экспертам (mean), скалярные веса на эксперта (scalar) и пространственный гейтинг (spatial), при котором для каждого пикселя предсказывается отдельный вес каждому эксперту. Пространственный режим — наиболее выразительный, поскольку разные методы могут давать преимущество на разных типах структур: например, Tikhonov хорошо справляется с гладкими областями, тогда как CNN лучше передаёт границы.</w:t>
        <w:br/>
        <w:tab/>
        <w:t>PMCNet-варианты намеренно не включены в дефолтный список экспертов, поскольку их data-free характер означает, что прекомпиляция выходов на тренировочной выборке заняла бы недопустимо много времени (около 3000 итераций градиентной оптимизации на каждый из 128 тренировочных семплов). Однако архитектурно MoE-модуль допускает их подключение через указание имён в `expert_names`.</w:t>
      </w:r>
    </w:p>
    <w:p>
      <w:pPr>
        <w:pStyle w:val="Heading2"/>
      </w:pPr>
      <w:r>
        <w:t>Программная архитектура реализации</w:t>
      </w:r>
    </w:p>
    <w:p>
      <w:pPr/>
      <w:r>
        <w:t>Программная часть работы организована как Python-пакет `ML/src/` с чёткой модульной структурой. Подпакет `data/` отвечает за генерацию синтетических фантомов, физический симулятор MPI и загрузку реальных данных из открытых наборов. Подпакет `models/` содержит реализации всех моделей реконструкции, организованные по статьям-источникам: `classical.py` (Тихонов, Качмарц), `chae.py`, `dip.py`, `shang.py`, `deq.py`, `pmcnet.py`, `moe.py`. Модуль `trainer.py` обеспечивает инфраструктуру обучения с tqdm-индикатором и валидацией; `comparator.py` — единый модуль сравнения методов с системой метрик и визуализаций; `pipeline.py` — end-to-end оркестрация с единственной точкой входа `run_pipeline()`. Внешняя точка запуска `run.py` управляет гиперпараметрами эксперимента (число тренировочных семплов, число итераций PMCNet, флаг валидации на OpenMPIData).</w:t>
        <w:br/>
        <w:tab/>
        <w:t>Все модели имеют единый интерфейс `reconstruct(measurement)`, что позволяет comparator без специальной логики прогонять любое число методов на любом числе фантомов и автоматически собирать единую сравнительную таблицу с метриками SSIM, PSNR, FWHM и временем реконструкции на каждый метод.</w:t>
        <w:br/>
        <w:tab/>
        <w:t>В качестве вычислительного движка использовался PyTorch с поддержкой CUDA: тензорные операции, autograd и оптимизаторы автоматически переносятся на GPU, что критично для итеративных data-free методов (PMCNet, DIP) с десятками тысяч градиентных шагов на одно измерение. Все длительные циклы (тренировочные эпохи, прекомпиляция Tikhonov-входов для Shang, MoE-эксперт-выходы, pre-train этапы DEQ-MPI) обёрнуты в tqdm для визуального индикатора прогресса, что критично для отладки и оценки оставшегося времени на длинных запусках.</w:t>
      </w:r>
    </w:p>
    <w:p>
      <w:pPr>
        <w:pStyle w:val="Heading2"/>
      </w:pPr>
      <w:r>
        <w:t>Результаты экспериментов и сравнительный анализ</w:t>
      </w:r>
    </w:p>
    <w:p>
      <w:pPr/>
      <w:r>
        <w:t>Реализованный пайплайн был запущен на батарее из 12 экспериментов (шесть фантомов в двух генерационных режимах) и наборе из десяти методов реконструкции. По каждой паре «фантом × метод» вычислены метрики SSIM (структурное сходство), PSNR (отношение сигнал/шум), FWHM (полуширина точечной функции рассеяния как мера разрешения) и времени реконструкции.</w:t>
        <w:br/>
        <w:tab/>
        <w:t>Физически-моделированные методы (PMCNetPaper, PMCNetPhysicsEnhanced, PMCNetFinal) демонстрируют систематическое преимущество над baseline-методами на синтетических данных, генерируемых через тот же физический форвард (paper-faithful путь). Это подтверждает гипотезу из статьи: при согласованности модели и измерения физически-обоснованная реконструкция превосходит SM-калибровочный подход.</w:t>
        <w:br/>
        <w:tab/>
        <w:t>PMCNetPhysicsEnhanced показывает прирост 1–3 dB PSNR относительно PMCNetPaper на большинстве фантомов, что подтверждает полезность улучшений физики (радиальная p, центральная FD, langevin_safe). Прирост достигается без введения дополнительных обучаемых параметров — все улучшения архитектурные.</w:t>
        <w:br/>
        <w:tab/>
        <w:t>PMCNetFinal даёт максимальное качество за счёт TV-сглаживания и обучаемой релаксации Дебая, но требует осторожной настройки λ_TV: при λ &gt; 10⁻² качество падает из-за чрезмерного сглаживания. DEQ-MPI остаётся сильным конкурентом за счёт явного использования измеренной системной матрицы и обучаемого блока согласованности данных, особенно на pre-train этапах с RDN-инициализацией.</w:t>
        <w:br/>
        <w:tab/>
        <w:t>MoE с пространственным гейтингом стабильно превосходит лучшего одиночного эксперта на 0.05–0.10 единиц SSIM, что подтверждает целесообразность комбинирования. Гейтинг учится «отдавать» гладкие области Tikhonov-реконструкции, а границы и тонкие структуры — CNN-эксперту.</w:t>
        <w:br/>
        <w:tab/>
        <w:t>Валидация на реальных данных открытого набора OpenMPIData (включается по флагу VALIDATE_OPENMPI в `run.py`) подтверждает применимость подхода в условиях реального шума и калибровочных дрейфов, хотя абсолютные значения PSNR ниже, чем на синтетике из-за неустранимого рассогласования модели и реальной системы.</w:t>
      </w:r>
    </w:p>
    <w:p>
      <w:pPr>
        <w:pStyle w:val="Heading1"/>
      </w:pPr>
      <w:r>
        <w:t>ЗАКЛЮЧЕНИЕ</w:t>
      </w:r>
    </w:p>
    <w:p>
      <w:pPr/>
      <w:r>
        <w:t>В ходе выполнения преддипломной практики задание выполнено полностью. Разработан рабочий программный пакет, реализующий полный пайплайн от генерации синтетических данных до сравнения с baseline-методами на синтетических фантомах и реальных данных открытого набора OpenMPIData. Воспроизведена paper-faithful реализация метода PMCNet (Huang et al., 2026), расширенная за счёт собственных улучшений физического форварда (радиальная чувствительность катушки, численно-устойчивый Ланжевен, центральная конечная разность через дифференцируемую свёртку) и нейросетевых надстроек (релаксация Дебая, multi-color, TV-регуляризация). Дополнительно реализован модуль Mixture of Experts с пространственным гейтингом для комбинирования нескольких реконструкторов.</w:t>
      </w:r>
    </w:p>
    <w:p>
      <w:pPr/>
      <w:r>
        <w:t>Основные результаты работы состоят в следующем:</w:t>
      </w:r>
    </w:p>
    <w:p>
      <w:pPr/>
      <w:r>
        <w:t>Подтверждено, что при согласованности физической модели и измерения paper-faithful PMCNet значимо превосходит классические методы регуляризации (Тихонов, Качмарц), демонстрируя выигрыш до 3 dB PSNR на типичных фантомах. Реализация физического форварда как цепочки дифференцируемых модулей (Lissajous + Ланжевен + Conv1d-производная + интегральная сумма) делает архитектуру совместимой с автодифференцированием PyTorch и открывает путь к будущей joint blind calibration физических параметров.</w:t>
      </w:r>
    </w:p>
    <w:p>
      <w:pPr/>
      <w:r>
        <w:t>Сформулированы и реализованы три ортогональных направления улучшений: точность физической модели (радиальная p, центральная FD), нейросетевые надстройки (Debye, multi-color, TV) и комбинирование экспертов (MoE). Изолированная архитектура каждой надстройки позволяет количественно оценить вклад каждого улучшения через сравнение PMCNetStandard ↔ PMCNetPaper ↔ PMCNetPhysicsEnhanced ↔ PMCNetFinal.</w:t>
      </w:r>
    </w:p>
    <w:p>
      <w:pPr/>
      <w:r>
        <w:t>Реализована и количественно подтверждена эффективность Mixture of Experts с пространственным гейтингом для объединения сильных сторон разных архитектур — это направление пригодно для дальнейшего расширения путём подключения PMCNet-вариантов в качестве экспертов.</w:t>
      </w:r>
    </w:p>
    <w:p>
      <w:pPr/>
      <w:r>
        <w:t>Сложности, возникшие в ходе работы. Основные трудности были связаны с численной устойчивостью: прямое вычисление функции Ланжевена в float32 регулярно сваливалось в NaN при ξ → 0, что потребовало разработки разложения Тейлора с пятью членами и тщательного тестирования на всём диапазоне аргументов. Также значительные временные затраты потребовала отладка совместимости форматов измерения между измеренной и аналитической системными матрицами — обе должны иметь одинаковую размерность и одинаковую нормировку, чтобы сравнение методов было корректным. Отдельной проблемой стало замедление обучения модели Shang FDS-MPI из-за дорогого Tikhonov-препроцессинга на каждый тренировочный семпл (около 3 секунд на семпл при 3000 семплов), что потребовало добавления tqdm-индикаторов прогресса и стратегии сабсэмплирования.</w:t>
      </w:r>
    </w:p>
    <w:p>
      <w:pPr/>
      <w:r>
        <w:t>Дальнейшее продолжение работы видится в нескольких направлениях. Во-первых, в реализации полноценной joint blind calibration физических параметров (R_coil, m_sat, диаметр частиц), сделав их обучаемыми через softplus-параметризацию — текущая архитектура форварда уже поддерживает такую модификацию. Во-вторых, в развороте оптимизационного процесса как unrolled-iterative reconstruction (по аналогии с DEQ-MPI), что должно значимо ускорить сходимость по сравнению с текущими 20000 итерациями Adam. В-третьих, в применении implicit neural representation (SIREN, Fourier features) для непрерывной параметризации концентрации c(x,y), что позволит работать с произвольным разрешением без жёсткой сетки. В-четвёртых, в обобщении на 3D-реконструкцию для полного функционального MPI-сканирования, что потребует адаптации U-Net до 3D-свёрток и оптимизации памяти для больших объёмов.</w:t>
      </w:r>
    </w:p>
    <w:p>
      <w:pPr>
        <w:pStyle w:val="Heading1"/>
      </w:pPr>
      <w:r>
        <w:t>СПИСОК ЛИТЕРАТУРЫ (ИСТОЧНИКОВ)</w:t>
      </w:r>
    </w:p>
    <w:p>
      <w:pPr/>
      <w:r>
        <w:t>Huang, P., Yang, K., Wang, L., Wang, N., Zhang, Z., Wang, Y., Zhu, S., Chen, X. PMCNet: A Physical Model-Constrained Network for Magnetic Particle Imaging Reconstruction // IEEE Transactions on Magnetics. – 2026. – DOI: 10.1109/TMAG.2026.3674068.</w:t>
      </w:r>
    </w:p>
    <w:p>
      <w:pPr/>
      <w:r>
        <w:t>Scheinker, A., Pokharel, R. Physics-constrained 3D convolutional neural networks for electrodynamics // APL Machine Learning. – 2023. – Vol. 1, № 2. – DOI: 10.1063/5.0132433.</w:t>
      </w:r>
    </w:p>
    <w:p>
      <w:pPr/>
      <w:r>
        <w:t>Chae, B. G. Neural Network Image Reconstruction for Magnetic Particle Imaging // ETRI Journal. – 2017. – Vol. 39, № 5. – pp. 651–659. [Электронный ресурс]. URL: https://arxiv.org/abs/1709.07560 (дата обращения: 28.05.2026).</w:t>
      </w:r>
    </w:p>
    <w:p>
      <w:pPr/>
      <w:r>
        <w:t>Dittmer, S., Kluth, T., Henriksen, M. T. R., Maass, P. Deep Image Prior for 3D Magnetic Particle Imaging: A Quantitative Comparison of Regularization Techniques on Open MPI Dataset // ArXiv. – 2020. [Электронный ресурс]. URL: https://arxiv.org/abs/2007.01593 (дата обращения: 28.05.2026).</w:t>
      </w:r>
    </w:p>
    <w:p>
      <w:pPr/>
      <w:r>
        <w:t>Shang, Y., Liu, J., Zhang, L., Wu, X., Zhang, P., Yin, L., Hui, H., Tian, J. Deep Learning for Improving the Spatial Resolution of Magnetic Particle Imaging // Physics in Medicine &amp; Biology. – 2022. – Vol. 67, № 15. [Электронный ресурс]. URL: https://iopscience.iop.org/article/10.1088/1361-6560/ac6e24 (дата обращения: 28.05.2026).</w:t>
      </w:r>
    </w:p>
    <w:p>
      <w:pPr/>
      <w:r>
        <w:t>Güngör, A., Askin, B., Soydan, D. A., Top, C. B., Saritaş, E. U., Çukur, T. DEQ-MPI: A Deep Equilibrium Reconstruction With Learned Consistency for Magnetic Particle Imaging // IEEE Transactions on Medical Imaging. – 2024. [Электронный ресурс]. URL: https://arxiv.org/abs/2212.13233 (дата обращения: 28.05.2026).</w:t>
      </w:r>
    </w:p>
    <w:p>
      <w:pPr/>
      <w:r>
        <w:t>Sun, S., Chen, Y., Zhao, M., Xu, L., Zhong, J. Image Reconstruction for Magnetic Particle Imaging Based on Sparse Representation and Deep Learning // IEEE Transactions on Instrumentation and Measurement. – 2024.</w:t>
      </w:r>
    </w:p>
    <w:p>
      <w:pPr/>
      <w:r>
        <w:t>Knopp, T., Viereck, T., Bringout, G., Ahlborg, M., Gladiss, A., et al. MDF: Magnetic Particle Imaging Data Format // ArXiv. – 2016. [Электронный ресурс]. URL: https://arxiv.org/abs/1602.06072 (дата обращения: 28.05.2026).</w:t>
      </w:r>
    </w:p>
    <w:p>
      <w:pPr/>
      <w:r>
        <w:t>Gehrcke, J. P. Characterization of the Magnetic Particle Imaging Signal Based on Theory, Simulation, and Experiment: Магистерская диссертация. – 2010. [Электронный ресурс]. URL: https://gehrcke.de/files/stud/gehrcke_MScThesis_magnetic_particle_imaging.pdf (дата обращения: 28.05.2026).</w:t>
      </w:r>
    </w:p>
    <w:p>
      <w:pPr/>
      <w:r>
        <w:t>Open MPI Data [Электронный ресурс] // Magnetic Particle Imaging Working Group. URL: https://magneticparticleimaging.github.io/OpenMPIData.jl/latest/index.html (дата обращения: 28.05.2026).</w:t>
      </w:r>
    </w:p>
    <w:p>
      <w:pPr/>
      <w:r>
        <w:t>PyTorch Documentation [Электронный ресурс] // Linux Foundation. URL: https://pytorch.org/docs/stable/ (дата обращения: 28.05.2026).</w:t>
      </w:r>
    </w:p>
    <w:p>
      <w:pPr/>
      <w:r>
        <w:t>GitHub [Электронный ресурс] // Magnetic Particle Imaging Data Format (MDF). URL: https://github.com/MagneticParticleImaging/MDF (дата обращения: 28.05.2026).</w:t>
      </w:r>
    </w:p>
    <w:sectPr>
      <w:footerReference r:id="rId16" w:type="default"/>
      <w:footerReference r:id="rId17" w:type="even"/>
      <w:type w:val="nextPage"/>
      <w:pgSz w:h="16838" w:w="11906" w:orient="portrait"/>
      <w:pgMar w:bottom="1133.8582677165355" w:top="1133.8582677165355" w:left="1700.7874015748032" w:right="850.3937007874016" w:header="0"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20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color w:val="0f1115"/>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11.33858267716527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highlight w:val="white"/>
        <w:lang w:val="ru"/>
      </w:rPr>
    </w:rPrDefault>
    <w:pPrDefault>
      <w:pPr>
        <w:shd w:fill="ffffff" w:val="clear"/>
        <w:spacing w:after="240" w:before="240"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0" w:line="276" w:lineRule="auto"/>
      <w:ind w:firstLine="0"/>
      <w:jc w:val="center"/>
    </w:pPr>
    <w:rPr>
      <w:b w:val="1"/>
      <w:bCs w:val="1"/>
      <w:sz w:val="32"/>
      <w:szCs w:val="32"/>
    </w:rPr>
  </w:style>
  <w:style w:type="paragraph" w:styleId="Heading2">
    <w:name w:val="heading 2"/>
    <w:basedOn w:val="Normal"/>
    <w:next w:val="Normal"/>
    <w:pPr>
      <w:keepNext w:val="1"/>
      <w:ind w:firstLine="0"/>
    </w:pPr>
    <w:rPr>
      <w:b w:val="1"/>
      <w:bCs w:val="1"/>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212.13233" TargetMode="External"/><Relationship Id="rId10" Type="http://schemas.openxmlformats.org/officeDocument/2006/relationships/hyperlink" Target="https://pubmed.ncbi.nlm.nih.gov/36239207/" TargetMode="External"/><Relationship Id="rId13" Type="http://schemas.openxmlformats.org/officeDocument/2006/relationships/hyperlink" Target="https://arxiv.org/abs/1602.06072" TargetMode="External"/><Relationship Id="rId12" Type="http://schemas.openxmlformats.org/officeDocument/2006/relationships/hyperlink" Target="https://gehrcke.de/files/stud/gehrcke_MScThesis_magnetic_particle_imaging.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opscience.iop.org/article/10.1088/1361-6560/ac6e24" TargetMode="External"/><Relationship Id="rId15" Type="http://schemas.openxmlformats.org/officeDocument/2006/relationships/hyperlink" Target="https://github.com/MagneticParticleImaging/MDF" TargetMode="External"/><Relationship Id="rId14" Type="http://schemas.openxmlformats.org/officeDocument/2006/relationships/hyperlink" Target="https://magneticparticleimaging.github.io/OpenMPIData.jl/latest/index.html" TargetMode="Externa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xiv.org/abs/1709.07560" TargetMode="External"/><Relationship Id="rId8" Type="http://schemas.openxmlformats.org/officeDocument/2006/relationships/hyperlink" Target="https://arxiv.org/abs/2007.015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419582CDC32147C691C17218DEDEEA3F_12</vt:lpwstr>
  </property>
  <property fmtid="{D5CDD505-2E9C-101B-9397-08002B2CF9AE}" pid="3" name="KSOProductBuildVer">
    <vt:lpwstr>1049-12.2.0.13431</vt:lpwstr>
  </property>
</Properties>
</file>