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4D"/>
          <w:spacing w:val="40"/>
          <w:sz w:val="20"/>
          <w:szCs w:val="20"/>
        </w:rPr>
        <w:t xml:space="preserve">SELECTION BRIEF</w:t>
      </w:r>
    </w:p>
    <w:p>
      <w:pPr>
        <w:spacing w:after="80"/>
      </w:pPr>
      <w:r>
        <w:rPr>
          <w:b/>
          <w:bCs/>
          <w:color w:val="1A1A1A"/>
          <w:sz w:val="36"/>
          <w:szCs w:val="36"/>
        </w:rPr>
        <w:t xml:space="preserve">Choosing an AI engine for sustainability and climate risk</w:t>
      </w:r>
    </w:p>
    <w:p>
      <w:pPr>
        <w:pBdr>
          <w:bottom w:val="single" w:color="1F5C4D" w:sz="12" w:space="8"/>
        </w:pBdr>
        <w:spacing w:after="300"/>
      </w:pPr>
      <w:r>
        <w:rPr>
          <w:color w:val="5A6B66"/>
          <w:sz w:val="19"/>
          <w:szCs w:val="19"/>
        </w:rPr>
        <w:t xml:space="preserve">Prepared 18 September 2026  ·  Prices and vendor status verified on that date</w:t>
      </w:r>
    </w:p>
    <w:p>
      <w:pPr>
        <w:pStyle w:val="Heading1"/>
        <w:pBdr>
          <w:bottom w:val="single" w:color="C9D6D1" w:sz="6" w:space="6"/>
        </w:pBdr>
        <w:spacing w:after="140" w:before="320"/>
      </w:pPr>
      <w:r>
        <w:rPr>
          <w:b/>
          <w:bCs/>
          <w:color w:val="1F5C4D"/>
          <w:sz w:val="28"/>
          <w:szCs w:val="28"/>
        </w:rPr>
        <w:t xml:space="preserve">1.  Recommendation at a glance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There is no single engine that does climate risk assessment. The decision splits into three layers, and most buyers get the first one right and the third one wrong.</w:t>
      </w:r>
    </w:p>
    <w:tbl>
      <w:tblPr>
        <w:tblW w:type="dxa" w:w="9360"/>
        <w:tblBorders>
          <w:top w:val="single" w:color="C9D6D1" w:sz="4"/>
          <w:left w:val="single" w:color="C9D6D1" w:sz="4"/>
          <w:bottom w:val="single" w:color="C9D6D1" w:sz="4"/>
          <w:right w:val="single" w:color="C9D6D1" w:sz="4"/>
          <w:insideH w:val="single" w:color="C9D6D1" w:sz="4"/>
          <w:insideV w:val="single" w:color="C9D6D1" w:sz="4"/>
        </w:tblBorders>
      </w:tblPr>
      <w:tblGrid>
        <w:gridCol w:w="2050"/>
        <w:gridCol w:w="2750"/>
        <w:gridCol w:w="4560"/>
      </w:tblGrid>
      <w:tr>
        <w:trPr>
          <w:tblHeader/>
        </w:trPr>
        <w:tc>
          <w:tcPr>
            <w:tcW w:type="dxa" w:w="205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Layer</w:t>
            </w:r>
          </w:p>
        </w:tc>
        <w:tc>
          <w:tcPr>
            <w:tcW w:type="dxa" w:w="275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56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Reasoning engine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Claude Opus 5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1M-token context, page-anchored citations, strong tool use. List price $5 / $25 per million tokens.</w:t>
            </w:r>
          </w:p>
        </w:tc>
      </w:tr>
      <w:tr>
        <w:tc>
          <w:tcPr>
            <w:tcW w:type="dxa" w:w="205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Bulk extraction</w:t>
            </w:r>
          </w:p>
        </w:tc>
        <w:tc>
          <w:tcPr>
            <w:tcW w:type="dxa" w:w="275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45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$1 / $5 per million tokens. Use it for parsing invoices, meter reads and supplier files at volume.</w:t>
            </w:r>
          </w:p>
        </w:tc>
      </w:tr>
      <w:tr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Harness, bespoke work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Client-by-client consulting deliverables where a human drives each step.</w:t>
            </w:r>
          </w:p>
        </w:tc>
      </w:tr>
      <w:tr>
        <w:tc>
          <w:tcPr>
            <w:tcW w:type="dxa" w:w="205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Harness, repeatable work</w:t>
            </w:r>
          </w:p>
        </w:tc>
        <w:tc>
          <w:tcPr>
            <w:tcW w:type="dxa" w:w="275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Managed Agents</w:t>
            </w:r>
          </w:p>
        </w:tc>
        <w:tc>
          <w:tcPr>
            <w:tcW w:type="dxa" w:w="45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Hosted agent loop, versioned configs and scheduled runs for recurring assessments.</w:t>
            </w:r>
          </w:p>
        </w:tc>
      </w:tr>
      <w:tr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Physical hazard data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Two vendors, never one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Vendor outputs diverge sharply for the same asset. See Section 4.</w:t>
            </w:r>
          </w:p>
        </w:tc>
      </w:tr>
      <w:tr>
        <w:tc>
          <w:tcPr>
            <w:tcW w:type="dxa" w:w="205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Carbon accounting</w:t>
            </w:r>
          </w:p>
        </w:tc>
        <w:tc>
          <w:tcPr>
            <w:tcW w:type="dxa" w:w="275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Watershed, Persefoni or Sweep</w:t>
            </w:r>
          </w:p>
        </w:tc>
        <w:tc>
          <w:tcPr>
            <w:tcW w:type="dxa" w:w="45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Pick on organisational shape, not feature lists. See Section 5.</w:t>
            </w:r>
          </w:p>
        </w:tc>
      </w:tr>
    </w:tbl>
    <w:p>
      <w:pPr>
        <w:pBdr>
          <w:left w:val="single" w:color="1F5C4D" w:sz="18" w:space="10"/>
        </w:pBdr>
        <w:shd w:fill="EAF1EE" w:val="clear"/>
        <w:spacing w:after="140" w:before="140" w:line="276"/>
        <w:ind w:left="200" w:right="200"/>
      </w:pPr>
      <w:r>
        <w:rPr>
          <w:color w:val="174036"/>
          <w:sz w:val="21"/>
          <w:szCs w:val="21"/>
        </w:rPr>
        <w:t xml:space="preserve">Short version: spend your evaluation effort on the data layer. The engine is the easy half of this decision, and the expensive mistakes live downstream of it.</w:t>
      </w:r>
    </w:p>
    <w:p>
      <w:pPr>
        <w:pStyle w:val="Heading1"/>
        <w:pBdr>
          <w:bottom w:val="single" w:color="C9D6D1" w:sz="6" w:space="6"/>
        </w:pBdr>
        <w:spacing w:after="140" w:before="320"/>
      </w:pPr>
      <w:r>
        <w:rPr>
          <w:b/>
          <w:bCs/>
          <w:color w:val="1F5C4D"/>
          <w:sz w:val="28"/>
          <w:szCs w:val="28"/>
        </w:rPr>
        <w:t xml:space="preserve">2.  Why the engine is the easy half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A language model reasons. It does not measure. No engine knows the flood depth at a given address, the grid factor for a given subregion, or what your Tier 2 supplier burned last year. It reads what you give it and reasons over that.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So the engine question reduces to a short list of properties that actually matter for this work: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Context window.  </w:t>
      </w:r>
      <w:r>
        <w:rPr>
          <w:color w:val="1A1A1A"/>
          <w:sz w:val="22"/>
          <w:szCs w:val="22"/>
        </w:rPr>
        <w:t xml:space="preserve">Climate work is document-heavy. A CSRD filing, a year of utility data and a hazard report should fit in one pass rather than being chunked and stitched.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Citation anchoring.  </w:t>
      </w:r>
      <w:r>
        <w:rPr>
          <w:color w:val="1A1A1A"/>
          <w:sz w:val="22"/>
          <w:szCs w:val="22"/>
        </w:rPr>
        <w:t xml:space="preserve">The engine must point at the page it drew a claim from, not paraphrase from memory.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Tool use.  </w:t>
      </w:r>
      <w:r>
        <w:rPr>
          <w:color w:val="1A1A1A"/>
          <w:sz w:val="22"/>
          <w:szCs w:val="22"/>
        </w:rPr>
        <w:t xml:space="preserve">It has to call your scripts and datasets reliably, because that is where the real numbers 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Cost per document.  </w:t>
      </w:r>
      <w:r>
        <w:rPr>
          <w:color w:val="1A1A1A"/>
          <w:sz w:val="22"/>
          <w:szCs w:val="22"/>
        </w:rPr>
        <w:t xml:space="preserve">Scope 3 supplier screening means thousands of documents, so the per-token rate decides whether the workflow is viable.</w:t>
      </w:r>
    </w:p>
    <w:p>
      <w:pPr>
        <w:pStyle w:val="Heading1"/>
        <w:pBdr>
          <w:bottom w:val="single" w:color="C9D6D1" w:sz="6" w:space="6"/>
        </w:pBdr>
        <w:spacing w:after="140" w:before="320"/>
      </w:pPr>
      <w:r>
        <w:rPr>
          <w:b/>
          <w:bCs/>
          <w:color w:val="1F5C4D"/>
          <w:sz w:val="28"/>
          <w:szCs w:val="28"/>
        </w:rPr>
        <w:t xml:space="preserve">3.  The reasoning layer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Claude Opus 5 is the sensible default for this domain. The deciding feature is citations: with citations enabled, the response carries the quoted source text and the page number it came from. That turns every assertion into something a reviewer can check against the original PDF, which is exactly what assurance asks for.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List prices, Anthropic first-party API, mid-2026:</w:t>
      </w:r>
    </w:p>
    <w:tbl>
      <w:tblPr>
        <w:tblW w:type="dxa" w:w="9360"/>
        <w:tblBorders>
          <w:top w:val="single" w:color="C9D6D1" w:sz="4"/>
          <w:left w:val="single" w:color="C9D6D1" w:sz="4"/>
          <w:bottom w:val="single" w:color="C9D6D1" w:sz="4"/>
          <w:right w:val="single" w:color="C9D6D1" w:sz="4"/>
          <w:insideH w:val="single" w:color="C9D6D1" w:sz="4"/>
          <w:insideV w:val="single" w:color="C9D6D1" w:sz="4"/>
        </w:tblBorders>
      </w:tblPr>
      <w:tblGrid>
        <w:gridCol w:w="2000"/>
        <w:gridCol w:w="1400"/>
        <w:gridCol w:w="1800"/>
        <w:gridCol w:w="4160"/>
      </w:tblGrid>
      <w:tr>
        <w:trPr>
          <w:tblHeader/>
        </w:trPr>
        <w:tc>
          <w:tcPr>
            <w:tcW w:type="dxa" w:w="200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Context</w:t>
            </w:r>
          </w:p>
        </w:tc>
        <w:tc>
          <w:tcPr>
            <w:tcW w:type="dxa" w:w="180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Input / Output</w:t>
            </w:r>
          </w:p>
        </w:tc>
        <w:tc>
          <w:tcPr>
            <w:tcW w:type="dxa" w:w="416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Use it for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Claude Opus 5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1M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$5 / $25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Default. Materiality judgement, risk narratives, disclosure drafting, reconciliation.</w:t>
            </w:r>
          </w:p>
        </w:tc>
      </w:tr>
      <w:tr>
        <w:tc>
          <w:tcPr>
            <w:tcW w:type="dxa" w:w="20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Claude Fable 5.1</w:t>
            </w:r>
          </w:p>
        </w:tc>
        <w:tc>
          <w:tcPr>
            <w:tcW w:type="dxa" w:w="14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1M</w:t>
            </w:r>
          </w:p>
        </w:tc>
        <w:tc>
          <w:tcPr>
            <w:tcW w:type="dxa" w:w="18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$10 / $50</w:t>
            </w:r>
          </w:p>
        </w:tc>
        <w:tc>
          <w:tcPr>
            <w:tcW w:type="dxa" w:w="41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Most capable widely released model. Reserve for genuinely hard reasoning; not the everyday choice.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Claude Sonnet 5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1M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$2 / $10</w:t>
            </w:r>
          </w:p>
        </w:tc>
        <w:tc>
          <w:tcPr>
            <w:tcW w:type="dxa" w:w="4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Mid-tier throughput where judgement is lighter.</w:t>
            </w:r>
          </w:p>
        </w:tc>
      </w:tr>
      <w:tr>
        <w:tc>
          <w:tcPr>
            <w:tcW w:type="dxa" w:w="20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14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200K</w:t>
            </w:r>
          </w:p>
        </w:tc>
        <w:tc>
          <w:tcPr>
            <w:tcW w:type="dxa" w:w="18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$1 / $5</w:t>
            </w:r>
          </w:p>
        </w:tc>
        <w:tc>
          <w:tcPr>
            <w:tcW w:type="dxa" w:w="41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High-volume extraction: invoices, meter data, supplier questionnaires.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1A1A1A"/>
          <w:sz w:val="22"/>
          <w:szCs w:val="22"/>
        </w:rPr>
        <w:t xml:space="preserve">Split the work across two models rather than paying top rate for everything. Haiku handles extraction at volume; Opus 5 handles anything that requires a judgement you would defend to a client.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Harness: which one depends on repeatability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Claude Code.  </w:t>
      </w:r>
      <w:r>
        <w:rPr>
          <w:color w:val="1A1A1A"/>
          <w:sz w:val="22"/>
          <w:szCs w:val="22"/>
        </w:rPr>
        <w:t xml:space="preserve">Right for consulting deliverables built once per client, where an analyst steers each pass and reviews the output. This is the pattern behind the workshop-style climate builds.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2"/>
          <w:szCs w:val="22"/>
        </w:rPr>
        <w:t xml:space="preserve">Managed Agents.  </w:t>
      </w:r>
      <w:r>
        <w:rPr>
          <w:color w:val="1A1A1A"/>
          <w:sz w:val="22"/>
          <w:szCs w:val="22"/>
        </w:rPr>
        <w:t xml:space="preserve">Right when the same assessment runs on a schedule across a portfolio. Anthropic hosts the loop and the workspace, agent configs are versioned, and deployments fire on a cron cadence.</w:t>
      </w:r>
    </w:p>
    <w:p>
      <w:pPr>
        <w:pStyle w:val="Heading1"/>
        <w:pBdr>
          <w:bottom w:val="single" w:color="C9D6D1" w:sz="6" w:space="6"/>
        </w:pBdr>
        <w:spacing w:after="140" w:before="320"/>
      </w:pPr>
      <w:r>
        <w:rPr>
          <w:b/>
          <w:bCs/>
          <w:color w:val="1F5C4D"/>
          <w:sz w:val="28"/>
          <w:szCs w:val="28"/>
        </w:rPr>
        <w:t xml:space="preserve">4.  Where climate risk assessments actually fail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The data layer, not the model layer. This is settled by evidence rather than opinion.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The Global Association of Risk Professionals benchmarked 13 physical risk vendors on the same assets. The spread was wide across both hazard estimates and the damages attached to them. A single property could be rated highly exposed to flooding by one vendor and not exposed at all by another. GARP attributes it to a complexity cascade: modelling choices compound across weather, hydrology, hydraulics, damage functions and scenarios.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CarbonPlan found the same pattern independently. Comparing a commercial flood model against an open academic model on Los Angeles County properties, the two agreed on roughly one in five.</w:t>
      </w:r>
    </w:p>
    <w:p>
      <w:pPr>
        <w:pBdr>
          <w:left w:val="single" w:color="1F5C4D" w:sz="18" w:space="10"/>
        </w:pBdr>
        <w:shd w:fill="EAF1EE" w:val="clear"/>
        <w:spacing w:after="140" w:before="140" w:line="276"/>
        <w:ind w:left="200" w:right="200"/>
      </w:pPr>
      <w:r>
        <w:rPr>
          <w:color w:val="174036"/>
          <w:sz w:val="21"/>
          <w:szCs w:val="21"/>
        </w:rPr>
        <w:t xml:space="preserve">The practical consequence: no vendor is the accurate one. Treat a single-vendor number as an opinion, not a measurement.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What to do instead: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Licence two providers and run both across the portfolio.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Report the spread, not a single figure. Where they agree, confidence is genuine; where they diverge, that is the finding.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Disclose the model, the scenario and the vintage behind every number you publish.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Keep an open-source model as a sanity check on the commercial ones.</w:t>
      </w:r>
    </w:p>
    <w:p>
      <w:pPr>
        <w:pStyle w:val="Heading1"/>
        <w:pBdr>
          <w:bottom w:val="single" w:color="C9D6D1" w:sz="6" w:space="6"/>
        </w:pBdr>
        <w:spacing w:after="140" w:before="320"/>
      </w:pPr>
      <w:r>
        <w:rPr>
          <w:b/>
          <w:bCs/>
          <w:color w:val="1F5C4D"/>
          <w:sz w:val="28"/>
          <w:szCs w:val="28"/>
        </w:rPr>
        <w:t xml:space="preserve">5.  Choosing at the data layer</w:t>
      </w: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Physical risk</w:t>
      </w:r>
    </w:p>
    <w:tbl>
      <w:tblPr>
        <w:tblW w:type="dxa" w:w="9360"/>
        <w:tblBorders>
          <w:top w:val="single" w:color="C9D6D1" w:sz="4"/>
          <w:left w:val="single" w:color="C9D6D1" w:sz="4"/>
          <w:bottom w:val="single" w:color="C9D6D1" w:sz="4"/>
          <w:right w:val="single" w:color="C9D6D1" w:sz="4"/>
          <w:insideH w:val="single" w:color="C9D6D1" w:sz="4"/>
          <w:insideV w:val="single" w:color="C9D6D1" w:sz="4"/>
        </w:tblBorders>
      </w:tblPr>
      <w:tblGrid>
        <w:gridCol w:w="2100"/>
        <w:gridCol w:w="4000"/>
        <w:gridCol w:w="3260"/>
      </w:tblGrid>
      <w:tr>
        <w:trPr>
          <w:tblHeader/>
        </w:trPr>
        <w:tc>
          <w:tcPr>
            <w:tcW w:type="dxa" w:w="210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Vendor</w:t>
            </w:r>
          </w:p>
        </w:tc>
        <w:tc>
          <w:tcPr>
            <w:tcW w:type="dxa" w:w="400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Strength</w:t>
            </w:r>
          </w:p>
        </w:tc>
        <w:tc>
          <w:tcPr>
            <w:tcW w:type="dxa" w:w="326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Commercial shape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Jupiter Intelligence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22.3bn locations, three scenarios in five-year steps to 2100, adaptation ROI modelling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Enterprise, six figures annually</w:t>
            </w:r>
          </w:p>
        </w:tc>
      </w:tr>
      <w:tr>
        <w:tc>
          <w:tcPr>
            <w:tcW w:type="dxa" w:w="21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XDI</w:t>
            </w:r>
          </w:p>
        </w:tc>
        <w:tc>
          <w:tcPr>
            <w:tcW w:type="dxa" w:w="40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Nine hazards, four scenarios to 2100, resolution to five metres, damage in monetary terms</w:t>
            </w:r>
          </w:p>
        </w:tc>
        <w:tc>
          <w:tcPr>
            <w:tcW w:type="dxa" w:w="32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Moody's (Four Twenty Seven)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Flood, heat, hurricane, sea level, water stress, wildfire, tied to credit assessment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1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S&amp;P Climanomics, MSCI</w:t>
            </w:r>
          </w:p>
        </w:tc>
        <w:tc>
          <w:tcPr>
            <w:tcW w:type="dxa" w:w="40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Portfolio-level financial impact for listed exposure</w:t>
            </w:r>
          </w:p>
        </w:tc>
        <w:tc>
          <w:tcPr>
            <w:tcW w:type="dxa" w:w="32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Enterprise, six figures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Climate X, Repath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Mid-market coverage with lighter commitments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Roughly €20k–€60k for 30–100 assets</w:t>
            </w:r>
          </w:p>
        </w:tc>
      </w:tr>
    </w:tbl>
    <w:p>
      <w:pPr>
        <w:spacing w:after="140"/>
      </w:pPr>
    </w:p>
    <w:p>
      <w:pPr>
        <w:pStyle w:val="Heading2"/>
        <w:spacing w:after="100" w:before="200"/>
      </w:pPr>
      <w:r>
        <w:rPr>
          <w:b/>
          <w:bCs/>
          <w:color w:val="1A1A1A"/>
          <w:sz w:val="23"/>
          <w:szCs w:val="23"/>
        </w:rPr>
        <w:t xml:space="preserve">Carbon accounting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The AI feature gap between these has largely closed. Every serious vendor now does AI-assisted ingestion and Scope 3 estimation, so choose on organisational shape.</w:t>
      </w:r>
    </w:p>
    <w:tbl>
      <w:tblPr>
        <w:tblW w:type="dxa" w:w="9360"/>
        <w:tblBorders>
          <w:top w:val="single" w:color="C9D6D1" w:sz="4"/>
          <w:left w:val="single" w:color="C9D6D1" w:sz="4"/>
          <w:bottom w:val="single" w:color="C9D6D1" w:sz="4"/>
          <w:right w:val="single" w:color="C9D6D1" w:sz="4"/>
          <w:insideH w:val="single" w:color="C9D6D1" w:sz="4"/>
          <w:insideV w:val="single" w:color="C9D6D1" w:sz="4"/>
        </w:tblBorders>
      </w:tblPr>
      <w:tblGrid>
        <w:gridCol w:w="2100"/>
        <w:gridCol w:w="4000"/>
        <w:gridCol w:w="3260"/>
      </w:tblGrid>
      <w:tr>
        <w:trPr>
          <w:tblHeader/>
        </w:trPr>
        <w:tc>
          <w:tcPr>
            <w:tcW w:type="dxa" w:w="210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Platform</w:t>
            </w:r>
          </w:p>
        </w:tc>
        <w:tc>
          <w:tcPr>
            <w:tcW w:type="dxa" w:w="400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Best fit</w:t>
            </w:r>
          </w:p>
        </w:tc>
        <w:tc>
          <w:tcPr>
            <w:tcW w:type="dxa" w:w="3260"/>
            <w:shd w:fill="EA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144035"/>
                <w:sz w:val="18"/>
                <w:szCs w:val="18"/>
              </w:rPr>
              <w:t xml:space="preserve">Commercial shape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Watershed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Large enterprises with complex supply chains and heavy disclosure load; aligns to 10+ frameworks including CSRD, ISSB, CDP and GRI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Roughly $55k–$250k a year</w:t>
            </w:r>
          </w:p>
        </w:tc>
      </w:tr>
      <w:tr>
        <w:tc>
          <w:tcPr>
            <w:tcW w:type="dxa" w:w="21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Persefoni</w:t>
            </w:r>
          </w:p>
        </w:tc>
        <w:tc>
          <w:tcPr>
            <w:tcW w:type="dxa" w:w="40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Financial institutions and investor-grade reporting</w:t>
            </w:r>
          </w:p>
        </w:tc>
        <w:tc>
          <w:tcPr>
            <w:tcW w:type="dxa" w:w="32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Roughly $55k–$250k a year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Sweep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Decentralised organisations needing cross-functional accountability</w:t>
            </w:r>
          </w:p>
        </w:tc>
        <w:tc>
          <w:tcPr>
            <w:tcW w:type="dxa" w:w="3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Enterprise quote</w:t>
            </w:r>
          </w:p>
        </w:tc>
      </w:tr>
      <w:tr>
        <w:tc>
          <w:tcPr>
            <w:tcW w:type="dxa" w:w="21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IBM Envizi, Microsoft, Salesforce</w:t>
            </w:r>
          </w:p>
        </w:tc>
        <w:tc>
          <w:tcPr>
            <w:tcW w:type="dxa" w:w="400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Estates already standardised on that vendor's cloud or ERP</w:t>
            </w:r>
          </w:p>
        </w:tc>
        <w:tc>
          <w:tcPr>
            <w:tcW w:type="dxa" w:w="3260"/>
            <w:shd w:fill="F7FA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color w:val="1A1A1A"/>
                <w:sz w:val="18"/>
                <w:szCs w:val="18"/>
              </w:rPr>
              <w:t xml:space="preserve">Enterprise quote</w:t>
            </w:r>
          </w:p>
        </w:tc>
      </w:tr>
    </w:tbl>
    <w:p>
      <w:pPr>
        <w:pStyle w:val="Heading1"/>
        <w:pBdr>
          <w:bottom w:val="single" w:color="C9D6D1" w:sz="6" w:space="6"/>
        </w:pBdr>
        <w:spacing w:after="140" w:before="320"/>
      </w:pPr>
      <w:r>
        <w:rPr>
          <w:b/>
          <w:bCs/>
          <w:color w:val="1F5C4D"/>
          <w:sz w:val="28"/>
          <w:szCs w:val="28"/>
        </w:rPr>
        <w:t xml:space="preserve">6.  How the layers bind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The architecture that holds up in practice is thin at the engine layer and disciplined at the data layer: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Licensed hazard and factor data lands in files with vintages in the filenames.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Haiku 4.5 extracts structured records from client documents at volume.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Scripts do the arithmetic, so it can be rerun and diffed.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Opus 5 reasons over the reconciled output and drafts the narrative, citing pages.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color w:val="1A1A1A"/>
          <w:sz w:val="22"/>
          <w:szCs w:val="22"/>
        </w:rPr>
        <w:t xml:space="preserve">A human checks the citations and the divergence between vendors before anything ships.</w:t>
      </w:r>
    </w:p>
    <w:p>
      <w:pPr>
        <w:spacing w:after="120" w:line="276"/>
      </w:pPr>
      <w:r>
        <w:rPr>
          <w:i/>
          <w:iCs/>
          <w:color w:val="1A1A1A"/>
          <w:sz w:val="22"/>
          <w:szCs w:val="22"/>
        </w:rPr>
        <w:t xml:space="preserve">The engine never supplies a number. It reads, reasons and cites. Every figure originates in a file you licensed or measured.</w:t>
      </w:r>
    </w:p>
    <w:p>
      <w:pPr>
        <w:pStyle w:val="Heading1"/>
        <w:pBdr>
          <w:bottom w:val="single" w:color="C9D6D1" w:sz="6" w:space="6"/>
        </w:pBdr>
        <w:spacing w:after="140" w:before="320"/>
      </w:pPr>
      <w:r>
        <w:rPr>
          <w:b/>
          <w:bCs/>
          <w:color w:val="1F5C4D"/>
          <w:sz w:val="28"/>
          <w:szCs w:val="28"/>
        </w:rPr>
        <w:t xml:space="preserve">7.  A note on this recommendation</w:t>
      </w:r>
    </w:p>
    <w:p>
      <w:pPr>
        <w:spacing w:after="120" w:line="276"/>
      </w:pPr>
      <w:r>
        <w:rPr>
          <w:color w:val="1A1A1A"/>
          <w:sz w:val="22"/>
          <w:szCs w:val="22"/>
        </w:rPr>
        <w:t xml:space="preserve">I am not a neutral party on the reasoning layer, so weigh Section 3 accordingly. The criteria in Section 2 are the objective part: context window, citation anchoring, tool-use reliability and cost per document. Test any candidate engine against those four on your own documents before committing. Sections 4 and 5 are where the independent evidence sits, and that is the part of the decision I would not shortcut.</w:t>
      </w:r>
    </w:p>
    <w:p>
      <w:pPr>
        <w:pStyle w:val="Heading1"/>
        <w:pBdr>
          <w:bottom w:val="single" w:color="C9D6D1" w:sz="6" w:space="6"/>
        </w:pBdr>
        <w:spacing w:after="140" w:before="320"/>
      </w:pPr>
      <w:r>
        <w:rPr>
          <w:b/>
          <w:bCs/>
          <w:color w:val="1F5C4D"/>
          <w:sz w:val="28"/>
          <w:szCs w:val="28"/>
        </w:rPr>
        <w:t xml:space="preserve">Sources checked</w:t>
      </w:r>
    </w:p>
    <w:p>
      <w:pPr>
        <w:spacing w:after="60" w:line="252"/>
        <w:ind w:left="240" w:hanging="240"/>
      </w:pPr>
      <w:r>
        <w:rPr>
          <w:color w:val="44544F"/>
          <w:sz w:val="18"/>
          <w:szCs w:val="18"/>
        </w:rPr>
        <w:t xml:space="preserve">GARP Risk Institute, Comparing Climate Risk Vendors: A User's Guide to Physical Risk Assessments, and The Complexity Cascade — garp.org</w:t>
      </w:r>
    </w:p>
    <w:p>
      <w:pPr>
        <w:spacing w:after="60" w:line="252"/>
        <w:ind w:left="240" w:hanging="240"/>
      </w:pPr>
      <w:r>
        <w:rPr>
          <w:color w:val="44544F"/>
          <w:sz w:val="18"/>
          <w:szCs w:val="18"/>
        </w:rPr>
        <w:t xml:space="preserve">CarbonPlan, Climate risk companies don't always agree — carbonplan.org</w:t>
      </w:r>
    </w:p>
    <w:p>
      <w:pPr>
        <w:spacing w:after="60" w:line="252"/>
        <w:ind w:left="240" w:hanging="240"/>
      </w:pPr>
      <w:r>
        <w:rPr>
          <w:color w:val="44544F"/>
          <w:sz w:val="18"/>
          <w:szCs w:val="18"/>
        </w:rPr>
        <w:t xml:space="preserve">Jupiter Intelligence, ClimateScore Global product documentation — jupiterintel.com</w:t>
      </w:r>
    </w:p>
    <w:p>
      <w:pPr>
        <w:spacing w:after="60" w:line="252"/>
        <w:ind w:left="240" w:hanging="240"/>
      </w:pPr>
      <w:r>
        <w:rPr>
          <w:color w:val="44544F"/>
          <w:sz w:val="18"/>
          <w:szCs w:val="18"/>
        </w:rPr>
        <w:t xml:space="preserve">Verdantix, Smart Innovators: Physical Climate Risk Solutions — verdantix.com</w:t>
      </w:r>
    </w:p>
    <w:p>
      <w:pPr>
        <w:spacing w:after="60" w:line="252"/>
        <w:ind w:left="240" w:hanging="240"/>
      </w:pPr>
      <w:r>
        <w:rPr>
          <w:color w:val="44544F"/>
          <w:sz w:val="18"/>
          <w:szCs w:val="18"/>
        </w:rPr>
        <w:t xml:space="preserve">Persefoni, The 10 Best Carbon Accounting Software in 2026 — persefoni.com</w:t>
      </w:r>
    </w:p>
    <w:p>
      <w:pPr>
        <w:spacing w:after="60" w:line="252"/>
        <w:ind w:left="240" w:hanging="240"/>
      </w:pPr>
      <w:r>
        <w:rPr>
          <w:color w:val="44544F"/>
          <w:sz w:val="18"/>
          <w:szCs w:val="18"/>
        </w:rPr>
        <w:t xml:space="preserve">Sweep, Persefoni alternatives for carbon and ESG reporting — sweep.net</w:t>
      </w:r>
    </w:p>
    <w:p>
      <w:pPr>
        <w:spacing w:after="60" w:line="252"/>
        <w:ind w:left="240" w:hanging="240"/>
      </w:pPr>
      <w:r>
        <w:rPr>
          <w:color w:val="44544F"/>
          <w:sz w:val="18"/>
          <w:szCs w:val="18"/>
        </w:rPr>
        <w:t xml:space="preserve">Anthropic model pricing and capabilities, first-party API rates, mid-2026 — anthropic.com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an AI Engine for Sustainability and Climate Risk</dc:title>
  <dc:creator>FIKA Labs</dc:creator>
  <dc:description>Engine, harness and data-layer selection for climate risk assessment</dc:description>
  <cp:lastModifiedBy>Un-named</cp:lastModifiedBy>
  <cp:revision>1</cp:revision>
  <dcterms:created xsi:type="dcterms:W3CDTF">2026-09-18T21:41:59.182Z</dcterms:created>
  <dcterms:modified xsi:type="dcterms:W3CDTF">2026-09-18T21:41:59.193Z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