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5C4D"/>
          <w:spacing w:val="40"/>
          <w:sz w:val="20"/>
          <w:szCs w:val="20"/>
        </w:rPr>
        <w:t xml:space="preserve">CLAUDE CODE FOR CLIMATE WORK</w:t>
      </w:r>
    </w:p>
    <w:p>
      <w:pPr>
        <w:spacing w:after="80"/>
      </w:pPr>
      <w:r>
        <w:rPr>
          <w:b/>
          <w:bCs/>
          <w:color w:val="1A1A1A"/>
          <w:sz w:val="40"/>
          <w:szCs w:val="40"/>
        </w:rPr>
        <w:t xml:space="preserve">How to get current, accurate results</w:t>
      </w:r>
    </w:p>
    <w:p>
      <w:pPr>
        <w:pBdr>
          <w:bottom w:val="single" w:color="1F5C4D" w:sz="12" w:space="8"/>
        </w:pBdr>
        <w:spacing w:after="300"/>
      </w:pPr>
      <w:r>
        <w:rPr>
          <w:color w:val="5A6B66"/>
          <w:sz w:val="19"/>
          <w:szCs w:val="19"/>
        </w:rPr>
        <w:t xml:space="preserve">Operating guide  ·  Prepared 18 September 2026  ·  Source status verified on that date</w:t>
      </w:r>
    </w:p>
    <w:p>
      <w:pPr>
        <w:pStyle w:val="Heading1"/>
        <w:pBdr>
          <w:bottom w:val="single" w:color="C9D6D1" w:sz="6" w:space="6"/>
        </w:pBdr>
        <w:spacing w:after="140" w:before="320"/>
      </w:pPr>
      <w:r>
        <w:rPr>
          <w:b/>
          <w:bCs/>
          <w:color w:val="1F5C4D"/>
          <w:sz w:val="28"/>
          <w:szCs w:val="28"/>
        </w:rPr>
        <w:t xml:space="preserve">1.  Where accuracy actually breaks</w:t>
      </w:r>
    </w:p>
    <w:p>
      <w:pPr>
        <w:spacing w:after="120" w:line="276"/>
      </w:pPr>
      <w:r>
        <w:rPr>
          <w:color w:val="1A1A1A"/>
          <w:sz w:val="22"/>
          <w:szCs w:val="22"/>
        </w:rPr>
        <w:t xml:space="preserve">Ask a model for an emission factor and you will get one. It arrives with the right units, a sensible magnitude and a confident tone. That is exactly the problem. The number came from training data with a cutoff date, it carries no citation, and it will not survive the first reviewer who asks where it came from.</w:t>
      </w:r>
    </w:p>
    <w:p>
      <w:pPr>
        <w:spacing w:after="120" w:line="276"/>
      </w:pPr>
      <w:r>
        <w:rPr>
          <w:color w:val="1A1A1A"/>
          <w:sz w:val="22"/>
          <w:szCs w:val="22"/>
        </w:rPr>
        <w:t xml:space="preserve">A wrong number that looks right costs more than a blank cell. It clears internal review, reaches the client, and fails at assurance.</w:t>
      </w:r>
    </w:p>
    <w:p>
      <w:pPr>
        <w:spacing w:after="120" w:line="276"/>
      </w:pPr>
      <w:r>
        <w:rPr>
          <w:color w:val="1A1A1A"/>
          <w:sz w:val="22"/>
          <w:szCs w:val="22"/>
        </w:rPr>
        <w:t xml:space="preserve">Better prompting does not fix this. What fixes it is deciding, before you start, what the model is allowed to treat as a fact.</w:t>
      </w:r>
    </w:p>
    <w:p>
      <w:pPr>
        <w:pStyle w:val="Heading2"/>
        <w:spacing w:after="100" w:before="200"/>
      </w:pPr>
      <w:r>
        <w:rPr>
          <w:b/>
          <w:bCs/>
          <w:color w:val="1A1A1A"/>
          <w:sz w:val="23"/>
          <w:szCs w:val="23"/>
        </w:rPr>
        <w:t xml:space="preserve">Three rules that do most of the work</w:t>
      </w:r>
    </w:p>
    <w:p>
      <w:pPr>
        <w:pStyle w:val="ListParagraph"/>
        <w:numPr>
          <w:ilvl w:val="0"/>
          <w:numId w:val="2"/>
        </w:numPr>
        <w:spacing w:after="90" w:line="276"/>
      </w:pPr>
      <w:r>
        <w:rPr>
          <w:color w:val="1A1A1A"/>
          <w:sz w:val="22"/>
          <w:szCs w:val="22"/>
        </w:rPr>
        <w:t xml:space="preserve">The model never types a factor from memory. It reads factors from files you downloaded and checked.</w:t>
      </w:r>
    </w:p>
    <w:p>
      <w:pPr>
        <w:pStyle w:val="ListParagraph"/>
        <w:numPr>
          <w:ilvl w:val="0"/>
          <w:numId w:val="2"/>
        </w:numPr>
        <w:spacing w:after="90" w:line="276"/>
      </w:pPr>
      <w:r>
        <w:rPr>
          <w:color w:val="1A1A1A"/>
          <w:sz w:val="22"/>
          <w:szCs w:val="22"/>
        </w:rPr>
        <w:t xml:space="preserve">Every number in a deliverable traces to a file, a table and a row.</w:t>
      </w:r>
    </w:p>
    <w:p>
      <w:pPr>
        <w:pStyle w:val="ListParagraph"/>
        <w:numPr>
          <w:ilvl w:val="0"/>
          <w:numId w:val="2"/>
        </w:numPr>
        <w:spacing w:after="90" w:line="276"/>
      </w:pPr>
      <w:r>
        <w:rPr>
          <w:color w:val="1A1A1A"/>
          <w:sz w:val="22"/>
          <w:szCs w:val="22"/>
        </w:rPr>
        <w:t xml:space="preserve">Anything that cannot be traced is flagged in the draft, not smoothed over.</w:t>
      </w:r>
    </w:p>
    <w:p>
      <w:pPr>
        <w:spacing w:after="120" w:line="276"/>
      </w:pPr>
      <w:r>
        <w:rPr>
          <w:color w:val="1A1A1A"/>
          <w:sz w:val="22"/>
          <w:szCs w:val="22"/>
        </w:rPr>
        <w:t xml:space="preserve">The rest of this guide is the mechanics of holding those three rules.</w:t>
      </w:r>
    </w:p>
    <w:p>
      <w:pPr>
        <w:pStyle w:val="Heading1"/>
        <w:pBdr>
          <w:bottom w:val="single" w:color="C9D6D1" w:sz="6" w:space="6"/>
        </w:pBdr>
        <w:spacing w:after="140" w:before="320"/>
      </w:pPr>
      <w:r>
        <w:rPr>
          <w:b/>
          <w:bCs/>
          <w:color w:val="1F5C4D"/>
          <w:sz w:val="28"/>
          <w:szCs w:val="28"/>
        </w:rPr>
        <w:t xml:space="preserve">2.  Set the workspace up first</w:t>
      </w:r>
    </w:p>
    <w:p>
      <w:pPr>
        <w:spacing w:after="120" w:line="276"/>
      </w:pPr>
      <w:r>
        <w:rPr>
          <w:color w:val="1A1A1A"/>
          <w:sz w:val="22"/>
          <w:szCs w:val="22"/>
        </w:rPr>
        <w:t xml:space="preserve">Claude Code works best when the folder structure carries the discipline. Build this before the first prompt.</w:t>
      </w:r>
    </w:p>
    <w:tbl>
      <w:tblPr>
        <w:tblW w:type="dxa" w:w="9360"/>
        <w:tblBorders>
          <w:top w:val="single" w:color="C9D6D1" w:sz="4"/>
          <w:left w:val="single" w:color="C9D6D1" w:sz="4"/>
          <w:bottom w:val="single" w:color="C9D6D1" w:sz="4"/>
          <w:right w:val="single" w:color="C9D6D1" w:sz="4"/>
          <w:insideH w:val="single" w:color="C9D6D1" w:sz="4"/>
          <w:insideV w:val="single" w:color="C9D6D1" w:sz="4"/>
        </w:tblBorders>
      </w:tblPr>
      <w:tblGrid>
        <w:gridCol w:w="2000"/>
        <w:gridCol w:w="3760"/>
        <w:gridCol w:w="3600"/>
      </w:tblGrid>
      <w:tr>
        <w:trPr>
          <w:tblHeader/>
        </w:trPr>
        <w:tc>
          <w:tcPr>
            <w:tcW w:type="dxa" w:w="2000"/>
            <w:shd w:fill="EAF1EE" w:val="clear"/>
            <w:tcMar>
              <w:top w:type="dxa" w:w="90"/>
              <w:left w:type="dxa" w:w="120"/>
              <w:bottom w:type="dxa" w:w="90"/>
              <w:right w:type="dxa" w:w="120"/>
            </w:tcMar>
          </w:tcPr>
          <w:p>
            <w:pPr>
              <w:spacing w:after="0" w:line="252"/>
            </w:pPr>
            <w:r>
              <w:rPr>
                <w:b/>
                <w:bCs/>
                <w:color w:val="144035"/>
                <w:sz w:val="18"/>
                <w:szCs w:val="18"/>
              </w:rPr>
              <w:t xml:space="preserve">Folder</w:t>
            </w:r>
          </w:p>
        </w:tc>
        <w:tc>
          <w:tcPr>
            <w:tcW w:type="dxa" w:w="3760"/>
            <w:shd w:fill="EAF1EE" w:val="clear"/>
            <w:tcMar>
              <w:top w:type="dxa" w:w="90"/>
              <w:left w:type="dxa" w:w="120"/>
              <w:bottom w:type="dxa" w:w="90"/>
              <w:right w:type="dxa" w:w="120"/>
            </w:tcMar>
          </w:tcPr>
          <w:p>
            <w:pPr>
              <w:spacing w:after="0" w:line="252"/>
            </w:pPr>
            <w:r>
              <w:rPr>
                <w:b/>
                <w:bCs/>
                <w:color w:val="144035"/>
                <w:sz w:val="18"/>
                <w:szCs w:val="18"/>
              </w:rPr>
              <w:t xml:space="preserve">What goes in it</w:t>
            </w:r>
          </w:p>
        </w:tc>
        <w:tc>
          <w:tcPr>
            <w:tcW w:type="dxa" w:w="3600"/>
            <w:shd w:fill="EAF1EE" w:val="clear"/>
            <w:tcMar>
              <w:top w:type="dxa" w:w="90"/>
              <w:left w:type="dxa" w:w="120"/>
              <w:bottom w:type="dxa" w:w="90"/>
              <w:right w:type="dxa" w:w="120"/>
            </w:tcMar>
          </w:tcPr>
          <w:p>
            <w:pPr>
              <w:spacing w:after="0" w:line="252"/>
            </w:pPr>
            <w:r>
              <w:rPr>
                <w:b/>
                <w:bCs/>
                <w:color w:val="144035"/>
                <w:sz w:val="18"/>
                <w:szCs w:val="18"/>
              </w:rPr>
              <w:t xml:space="preserve">Rule</w:t>
            </w:r>
          </w:p>
        </w:tc>
      </w:tr>
      <w:tr>
        <w:tc>
          <w:tcPr>
            <w:tcW w:type="dxa" w:w="2000"/>
            <w:shd w:fill="FFFFFF" w:val="clear"/>
            <w:tcMar>
              <w:top w:type="dxa" w:w="90"/>
              <w:left w:type="dxa" w:w="120"/>
              <w:bottom w:type="dxa" w:w="90"/>
              <w:right w:type="dxa" w:w="120"/>
            </w:tcMar>
          </w:tcPr>
          <w:p>
            <w:pPr>
              <w:spacing w:after="0" w:line="252"/>
            </w:pPr>
            <w:r>
              <w:rPr>
                <w:color w:val="1A1A1A"/>
                <w:sz w:val="18"/>
                <w:szCs w:val="18"/>
              </w:rPr>
              <w:t xml:space="preserve">data/raw/</w:t>
            </w:r>
          </w:p>
        </w:tc>
        <w:tc>
          <w:tcPr>
            <w:tcW w:type="dxa" w:w="3760"/>
            <w:shd w:fill="FFFFFF" w:val="clear"/>
            <w:tcMar>
              <w:top w:type="dxa" w:w="90"/>
              <w:left w:type="dxa" w:w="120"/>
              <w:bottom w:type="dxa" w:w="90"/>
              <w:right w:type="dxa" w:w="120"/>
            </w:tcMar>
          </w:tcPr>
          <w:p>
            <w:pPr>
              <w:spacing w:after="0" w:line="252"/>
            </w:pPr>
            <w:r>
              <w:rPr>
                <w:color w:val="1A1A1A"/>
                <w:sz w:val="18"/>
                <w:szCs w:val="18"/>
              </w:rPr>
              <w:t xml:space="preserve">Client files exactly as received</w:t>
            </w:r>
          </w:p>
        </w:tc>
        <w:tc>
          <w:tcPr>
            <w:tcW w:type="dxa" w:w="3600"/>
            <w:shd w:fill="FFFFFF" w:val="clear"/>
            <w:tcMar>
              <w:top w:type="dxa" w:w="90"/>
              <w:left w:type="dxa" w:w="120"/>
              <w:bottom w:type="dxa" w:w="90"/>
              <w:right w:type="dxa" w:w="120"/>
            </w:tcMar>
          </w:tcPr>
          <w:p>
            <w:pPr>
              <w:spacing w:after="0" w:line="252"/>
            </w:pPr>
            <w:r>
              <w:rPr>
                <w:color w:val="1A1A1A"/>
                <w:sz w:val="18"/>
                <w:szCs w:val="18"/>
              </w:rPr>
              <w:t xml:space="preserve">Read-only. Never edit or overwrite.</w:t>
            </w:r>
          </w:p>
        </w:tc>
      </w:tr>
      <w:tr>
        <w:tc>
          <w:tcPr>
            <w:tcW w:type="dxa" w:w="2000"/>
            <w:shd w:fill="F7FAF9" w:val="clear"/>
            <w:tcMar>
              <w:top w:type="dxa" w:w="90"/>
              <w:left w:type="dxa" w:w="120"/>
              <w:bottom w:type="dxa" w:w="90"/>
              <w:right w:type="dxa" w:w="120"/>
            </w:tcMar>
          </w:tcPr>
          <w:p>
            <w:pPr>
              <w:spacing w:after="0" w:line="252"/>
            </w:pPr>
            <w:r>
              <w:rPr>
                <w:color w:val="1A1A1A"/>
                <w:sz w:val="18"/>
                <w:szCs w:val="18"/>
              </w:rPr>
              <w:t xml:space="preserve">data/factors/</w:t>
            </w:r>
          </w:p>
        </w:tc>
        <w:tc>
          <w:tcPr>
            <w:tcW w:type="dxa" w:w="3760"/>
            <w:shd w:fill="F7FAF9" w:val="clear"/>
            <w:tcMar>
              <w:top w:type="dxa" w:w="90"/>
              <w:left w:type="dxa" w:w="120"/>
              <w:bottom w:type="dxa" w:w="90"/>
              <w:right w:type="dxa" w:w="120"/>
            </w:tcMar>
          </w:tcPr>
          <w:p>
            <w:pPr>
              <w:spacing w:after="0" w:line="252"/>
            </w:pPr>
            <w:r>
              <w:rPr>
                <w:color w:val="1A1A1A"/>
                <w:sz w:val="18"/>
                <w:szCs w:val="18"/>
              </w:rPr>
              <w:t xml:space="preserve">Factor tables you downloaded</w:t>
            </w:r>
          </w:p>
        </w:tc>
        <w:tc>
          <w:tcPr>
            <w:tcW w:type="dxa" w:w="3600"/>
            <w:shd w:fill="F7FAF9" w:val="clear"/>
            <w:tcMar>
              <w:top w:type="dxa" w:w="90"/>
              <w:left w:type="dxa" w:w="120"/>
              <w:bottom w:type="dxa" w:w="90"/>
              <w:right w:type="dxa" w:w="120"/>
            </w:tcMar>
          </w:tcPr>
          <w:p>
            <w:pPr>
              <w:spacing w:after="0" w:line="252"/>
            </w:pPr>
            <w:r>
              <w:rPr>
                <w:color w:val="1A1A1A"/>
                <w:sz w:val="18"/>
                <w:szCs w:val="18"/>
              </w:rPr>
              <w:t xml:space="preserve">Vintage in every filename, e.g. egrid2023rev2_subregion.csv</w:t>
            </w:r>
          </w:p>
        </w:tc>
      </w:tr>
      <w:tr>
        <w:tc>
          <w:tcPr>
            <w:tcW w:type="dxa" w:w="2000"/>
            <w:shd w:fill="FFFFFF" w:val="clear"/>
            <w:tcMar>
              <w:top w:type="dxa" w:w="90"/>
              <w:left w:type="dxa" w:w="120"/>
              <w:bottom w:type="dxa" w:w="90"/>
              <w:right w:type="dxa" w:w="120"/>
            </w:tcMar>
          </w:tcPr>
          <w:p>
            <w:pPr>
              <w:spacing w:after="0" w:line="252"/>
            </w:pPr>
            <w:r>
              <w:rPr>
                <w:color w:val="1A1A1A"/>
                <w:sz w:val="18"/>
                <w:szCs w:val="18"/>
              </w:rPr>
              <w:t xml:space="preserve">sources/</w:t>
            </w:r>
          </w:p>
        </w:tc>
        <w:tc>
          <w:tcPr>
            <w:tcW w:type="dxa" w:w="3760"/>
            <w:shd w:fill="FFFFFF" w:val="clear"/>
            <w:tcMar>
              <w:top w:type="dxa" w:w="90"/>
              <w:left w:type="dxa" w:w="120"/>
              <w:bottom w:type="dxa" w:w="90"/>
              <w:right w:type="dxa" w:w="120"/>
            </w:tcMar>
          </w:tcPr>
          <w:p>
            <w:pPr>
              <w:spacing w:after="0" w:line="252"/>
            </w:pPr>
            <w:r>
              <w:rPr>
                <w:color w:val="1A1A1A"/>
                <w:sz w:val="18"/>
                <w:szCs w:val="18"/>
              </w:rPr>
              <w:t xml:space="preserve">A PDF or screenshot of each source page, dated</w:t>
            </w:r>
          </w:p>
        </w:tc>
        <w:tc>
          <w:tcPr>
            <w:tcW w:type="dxa" w:w="3600"/>
            <w:shd w:fill="FFFFFF" w:val="clear"/>
            <w:tcMar>
              <w:top w:type="dxa" w:w="90"/>
              <w:left w:type="dxa" w:w="120"/>
              <w:bottom w:type="dxa" w:w="90"/>
              <w:right w:type="dxa" w:w="120"/>
            </w:tcMar>
          </w:tcPr>
          <w:p>
            <w:pPr>
              <w:spacing w:after="0" w:line="252"/>
            </w:pPr>
            <w:r>
              <w:rPr>
                <w:color w:val="1A1A1A"/>
                <w:sz w:val="18"/>
                <w:szCs w:val="18"/>
              </w:rPr>
              <w:t xml:space="preserve">One file per factor set. This is your audit trail.</w:t>
            </w:r>
          </w:p>
        </w:tc>
      </w:tr>
      <w:tr>
        <w:tc>
          <w:tcPr>
            <w:tcW w:type="dxa" w:w="2000"/>
            <w:shd w:fill="F7FAF9" w:val="clear"/>
            <w:tcMar>
              <w:top w:type="dxa" w:w="90"/>
              <w:left w:type="dxa" w:w="120"/>
              <w:bottom w:type="dxa" w:w="90"/>
              <w:right w:type="dxa" w:w="120"/>
            </w:tcMar>
          </w:tcPr>
          <w:p>
            <w:pPr>
              <w:spacing w:after="0" w:line="252"/>
            </w:pPr>
            <w:r>
              <w:rPr>
                <w:color w:val="1A1A1A"/>
                <w:sz w:val="18"/>
                <w:szCs w:val="18"/>
              </w:rPr>
              <w:t xml:space="preserve">analysis/</w:t>
            </w:r>
          </w:p>
        </w:tc>
        <w:tc>
          <w:tcPr>
            <w:tcW w:type="dxa" w:w="3760"/>
            <w:shd w:fill="F7FAF9" w:val="clear"/>
            <w:tcMar>
              <w:top w:type="dxa" w:w="90"/>
              <w:left w:type="dxa" w:w="120"/>
              <w:bottom w:type="dxa" w:w="90"/>
              <w:right w:type="dxa" w:w="120"/>
            </w:tcMar>
          </w:tcPr>
          <w:p>
            <w:pPr>
              <w:spacing w:after="0" w:line="252"/>
            </w:pPr>
            <w:r>
              <w:rPr>
                <w:color w:val="1A1A1A"/>
                <w:sz w:val="18"/>
                <w:szCs w:val="18"/>
              </w:rPr>
              <w:t xml:space="preserve">Scripts that do the arithmetic</w:t>
            </w:r>
          </w:p>
        </w:tc>
        <w:tc>
          <w:tcPr>
            <w:tcW w:type="dxa" w:w="3600"/>
            <w:shd w:fill="F7FAF9" w:val="clear"/>
            <w:tcMar>
              <w:top w:type="dxa" w:w="90"/>
              <w:left w:type="dxa" w:w="120"/>
              <w:bottom w:type="dxa" w:w="90"/>
              <w:right w:type="dxa" w:w="120"/>
            </w:tcMar>
          </w:tcPr>
          <w:p>
            <w:pPr>
              <w:spacing w:after="0" w:line="252"/>
            </w:pPr>
            <w:r>
              <w:rPr>
                <w:color w:val="1A1A1A"/>
                <w:sz w:val="18"/>
                <w:szCs w:val="18"/>
              </w:rPr>
              <w:t xml:space="preserve">Maths lives in code, not in prose.</w:t>
            </w:r>
          </w:p>
        </w:tc>
      </w:tr>
      <w:tr>
        <w:tc>
          <w:tcPr>
            <w:tcW w:type="dxa" w:w="2000"/>
            <w:shd w:fill="FFFFFF" w:val="clear"/>
            <w:tcMar>
              <w:top w:type="dxa" w:w="90"/>
              <w:left w:type="dxa" w:w="120"/>
              <w:bottom w:type="dxa" w:w="90"/>
              <w:right w:type="dxa" w:w="120"/>
            </w:tcMar>
          </w:tcPr>
          <w:p>
            <w:pPr>
              <w:spacing w:after="0" w:line="252"/>
            </w:pPr>
            <w:r>
              <w:rPr>
                <w:color w:val="1A1A1A"/>
                <w:sz w:val="18"/>
                <w:szCs w:val="18"/>
              </w:rPr>
              <w:t xml:space="preserve">deliverables/</w:t>
            </w:r>
          </w:p>
        </w:tc>
        <w:tc>
          <w:tcPr>
            <w:tcW w:type="dxa" w:w="3760"/>
            <w:shd w:fill="FFFFFF" w:val="clear"/>
            <w:tcMar>
              <w:top w:type="dxa" w:w="90"/>
              <w:left w:type="dxa" w:w="120"/>
              <w:bottom w:type="dxa" w:w="90"/>
              <w:right w:type="dxa" w:w="120"/>
            </w:tcMar>
          </w:tcPr>
          <w:p>
            <w:pPr>
              <w:spacing w:after="0" w:line="252"/>
            </w:pPr>
            <w:r>
              <w:rPr>
                <w:color w:val="1A1A1A"/>
                <w:sz w:val="18"/>
                <w:szCs w:val="18"/>
              </w:rPr>
              <w:t xml:space="preserve">Drafts and final output</w:t>
            </w:r>
          </w:p>
        </w:tc>
        <w:tc>
          <w:tcPr>
            <w:tcW w:type="dxa" w:w="3600"/>
            <w:shd w:fill="FFFFFF" w:val="clear"/>
            <w:tcMar>
              <w:top w:type="dxa" w:w="90"/>
              <w:left w:type="dxa" w:w="120"/>
              <w:bottom w:type="dxa" w:w="90"/>
              <w:right w:type="dxa" w:w="120"/>
            </w:tcMar>
          </w:tcPr>
          <w:p>
            <w:pPr>
              <w:spacing w:after="0" w:line="252"/>
            </w:pPr>
            <w:r>
              <w:rPr>
                <w:color w:val="1A1A1A"/>
                <w:sz w:val="18"/>
                <w:szCs w:val="18"/>
              </w:rPr>
              <w:t xml:space="preserve">Nothing enters without passing Section 5.</w:t>
            </w:r>
          </w:p>
        </w:tc>
      </w:tr>
    </w:tbl>
    <w:p>
      <w:pPr>
        <w:spacing w:after="120"/>
      </w:pPr>
    </w:p>
    <w:p>
      <w:pPr>
        <w:spacing w:after="120" w:line="276"/>
      </w:pPr>
      <w:r>
        <w:rPr>
          <w:color w:val="1A1A1A"/>
          <w:sz w:val="22"/>
          <w:szCs w:val="22"/>
        </w:rPr>
        <w:t xml:space="preserve">Then write the project CLAUDE.md. This version holds up in practice:</w:t>
      </w:r>
    </w:p>
    <w:p>
      <w:pPr>
        <w:shd w:fill="F2F4F3" w:val="clear"/>
        <w:spacing w:after="20" w:line="240"/>
        <w:ind w:left="240"/>
      </w:pPr>
      <w:r>
        <w:rPr>
          <w:rFonts w:ascii="Consolas" w:cs="Consolas" w:eastAsia="Consolas" w:hAnsi="Consolas"/>
          <w:color w:val="22332E"/>
          <w:sz w:val="18"/>
          <w:szCs w:val="18"/>
        </w:rPr>
        <w:t xml:space="preserve">Never state an emission factor, GWP or regulatory deadline from memory.</w:t>
      </w:r>
    </w:p>
    <w:p>
      <w:pPr>
        <w:shd w:fill="F2F4F3" w:val="clear"/>
        <w:spacing w:after="20" w:line="240"/>
        <w:ind w:left="240"/>
      </w:pPr>
      <w:r>
        <w:rPr>
          <w:rFonts w:ascii="Consolas" w:cs="Consolas" w:eastAsia="Consolas" w:hAnsi="Consolas"/>
          <w:color w:val="22332E"/>
          <w:sz w:val="18"/>
          <w:szCs w:val="18"/>
        </w:rPr>
        <w:t xml:space="preserve">Read it from data/factors/ or sources/ and cite the filename and row.</w:t>
      </w:r>
    </w:p>
    <w:p>
      <w:pPr>
        <w:shd w:fill="F2F4F3" w:val="clear"/>
        <w:spacing w:after="20" w:line="240"/>
        <w:ind w:left="240"/>
      </w:pPr>
      <w:r>
        <w:rPr>
          <w:rFonts w:ascii="Consolas" w:cs="Consolas" w:eastAsia="Consolas" w:hAnsi="Consolas"/>
          <w:color w:val="22332E"/>
          <w:sz w:val="18"/>
          <w:szCs w:val="18"/>
        </w:rPr>
        <w:t xml:space="preserve"/>
      </w:r>
    </w:p>
    <w:p>
      <w:pPr>
        <w:shd w:fill="F2F4F3" w:val="clear"/>
        <w:spacing w:after="20" w:line="240"/>
        <w:ind w:left="240"/>
      </w:pPr>
      <w:r>
        <w:rPr>
          <w:rFonts w:ascii="Consolas" w:cs="Consolas" w:eastAsia="Consolas" w:hAnsi="Consolas"/>
          <w:color w:val="22332E"/>
          <w:sz w:val="18"/>
          <w:szCs w:val="18"/>
        </w:rPr>
        <w:t xml:space="preserve">If a needed factor is not in data/factors/, stop and say so. Do not estimate.</w:t>
      </w:r>
    </w:p>
    <w:p>
      <w:pPr>
        <w:shd w:fill="F2F4F3" w:val="clear"/>
        <w:spacing w:after="20" w:line="240"/>
        <w:ind w:left="240"/>
      </w:pPr>
      <w:r>
        <w:rPr>
          <w:rFonts w:ascii="Consolas" w:cs="Consolas" w:eastAsia="Consolas" w:hAnsi="Consolas"/>
          <w:color w:val="22332E"/>
          <w:sz w:val="18"/>
          <w:szCs w:val="18"/>
        </w:rPr>
        <w:t xml:space="preserve"/>
      </w:r>
    </w:p>
    <w:p>
      <w:pPr>
        <w:shd w:fill="F2F4F3" w:val="clear"/>
        <w:spacing w:after="20" w:line="240"/>
        <w:ind w:left="240"/>
      </w:pPr>
      <w:r>
        <w:rPr>
          <w:rFonts w:ascii="Consolas" w:cs="Consolas" w:eastAsia="Consolas" w:hAnsi="Consolas"/>
          <w:color w:val="22332E"/>
          <w:sz w:val="18"/>
          <w:szCs w:val="18"/>
        </w:rPr>
        <w:t xml:space="preserve">All arithmetic goes in a script under analysis/. No mental maths in prose.</w:t>
      </w:r>
    </w:p>
    <w:p>
      <w:pPr>
        <w:shd w:fill="F2F4F3" w:val="clear"/>
        <w:spacing w:after="20" w:line="240"/>
        <w:ind w:left="240"/>
      </w:pPr>
      <w:r>
        <w:rPr>
          <w:rFonts w:ascii="Consolas" w:cs="Consolas" w:eastAsia="Consolas" w:hAnsi="Consolas"/>
          <w:color w:val="22332E"/>
          <w:sz w:val="18"/>
          <w:szCs w:val="18"/>
        </w:rPr>
        <w:t xml:space="preserve"/>
      </w:r>
    </w:p>
    <w:p>
      <w:pPr>
        <w:shd w:fill="F2F4F3" w:val="clear"/>
        <w:spacing w:after="20" w:line="240"/>
        <w:ind w:left="240"/>
      </w:pPr>
      <w:r>
        <w:rPr>
          <w:rFonts w:ascii="Consolas" w:cs="Consolas" w:eastAsia="Consolas" w:hAnsi="Consolas"/>
          <w:color w:val="22332E"/>
          <w:sz w:val="18"/>
          <w:szCs w:val="18"/>
        </w:rPr>
        <w:t xml:space="preserve">Report every figure with its unit, its factor vintage and its source file.</w:t>
      </w:r>
    </w:p>
    <w:p>
      <w:pPr>
        <w:shd w:fill="F2F4F3" w:val="clear"/>
        <w:spacing w:after="20" w:line="240"/>
        <w:ind w:left="240"/>
      </w:pPr>
      <w:r>
        <w:rPr>
          <w:rFonts w:ascii="Consolas" w:cs="Consolas" w:eastAsia="Consolas" w:hAnsi="Consolas"/>
          <w:color w:val="22332E"/>
          <w:sz w:val="18"/>
          <w:szCs w:val="18"/>
        </w:rPr>
        <w:t xml:space="preserve"/>
      </w:r>
    </w:p>
    <w:p>
      <w:pPr>
        <w:shd w:fill="F2F4F3" w:val="clear"/>
        <w:spacing w:after="60" w:line="240"/>
        <w:ind w:left="240"/>
      </w:pPr>
      <w:r>
        <w:rPr>
          <w:rFonts w:ascii="Consolas" w:cs="Consolas" w:eastAsia="Consolas" w:hAnsi="Consolas"/>
          <w:color w:val="22332E"/>
          <w:sz w:val="18"/>
          <w:szCs w:val="18"/>
        </w:rPr>
        <w:t xml:space="preserve">Mark each assumption inline as [ASSUMPTION: ...] so it survives to review.</w:t>
      </w:r>
    </w:p>
    <w:p>
      <w:pPr>
        <w:pStyle w:val="Heading1"/>
        <w:pBdr>
          <w:bottom w:val="single" w:color="C9D6D1" w:sz="6" w:space="6"/>
        </w:pBdr>
        <w:spacing w:after="140" w:before="320"/>
      </w:pPr>
      <w:r>
        <w:rPr>
          <w:b/>
          <w:bCs/>
          <w:color w:val="1F5C4D"/>
          <w:sz w:val="28"/>
          <w:szCs w:val="28"/>
        </w:rPr>
        <w:t xml:space="preserve">3.  Source register, status at 18 September 2026</w:t>
      </w:r>
    </w:p>
    <w:p>
      <w:pPr>
        <w:spacing w:after="120" w:line="276"/>
      </w:pPr>
      <w:r>
        <w:rPr>
          <w:color w:val="1A1A1A"/>
          <w:sz w:val="22"/>
          <w:szCs w:val="22"/>
        </w:rPr>
        <w:t xml:space="preserve">Check this at the start of every engagement. Two of the US federal sets did not update on schedule this year, so “current” is no longer the same as “latest expected”.</w:t>
      </w:r>
    </w:p>
    <w:tbl>
      <w:tblPr>
        <w:tblW w:type="dxa" w:w="9360"/>
        <w:tblBorders>
          <w:top w:val="single" w:color="C9D6D1" w:sz="4"/>
          <w:left w:val="single" w:color="C9D6D1" w:sz="4"/>
          <w:bottom w:val="single" w:color="C9D6D1" w:sz="4"/>
          <w:right w:val="single" w:color="C9D6D1" w:sz="4"/>
          <w:insideH w:val="single" w:color="C9D6D1" w:sz="4"/>
          <w:insideV w:val="single" w:color="C9D6D1" w:sz="4"/>
        </w:tblBorders>
      </w:tblPr>
      <w:tblGrid>
        <w:gridCol w:w="1750"/>
        <w:gridCol w:w="1850"/>
        <w:gridCol w:w="2560"/>
        <w:gridCol w:w="3200"/>
      </w:tblGrid>
      <w:tr>
        <w:trPr>
          <w:tblHeader/>
        </w:trPr>
        <w:tc>
          <w:tcPr>
            <w:tcW w:type="dxa" w:w="1750"/>
            <w:shd w:fill="EAF1EE" w:val="clear"/>
            <w:tcMar>
              <w:top w:type="dxa" w:w="90"/>
              <w:left w:type="dxa" w:w="120"/>
              <w:bottom w:type="dxa" w:w="90"/>
              <w:right w:type="dxa" w:w="120"/>
            </w:tcMar>
          </w:tcPr>
          <w:p>
            <w:pPr>
              <w:spacing w:after="0" w:line="252"/>
            </w:pPr>
            <w:r>
              <w:rPr>
                <w:b/>
                <w:bCs/>
                <w:color w:val="144035"/>
                <w:sz w:val="18"/>
                <w:szCs w:val="18"/>
              </w:rPr>
              <w:t xml:space="preserve">Source</w:t>
            </w:r>
          </w:p>
        </w:tc>
        <w:tc>
          <w:tcPr>
            <w:tcW w:type="dxa" w:w="1850"/>
            <w:shd w:fill="EAF1EE" w:val="clear"/>
            <w:tcMar>
              <w:top w:type="dxa" w:w="90"/>
              <w:left w:type="dxa" w:w="120"/>
              <w:bottom w:type="dxa" w:w="90"/>
              <w:right w:type="dxa" w:w="120"/>
            </w:tcMar>
          </w:tcPr>
          <w:p>
            <w:pPr>
              <w:spacing w:after="0" w:line="252"/>
            </w:pPr>
            <w:r>
              <w:rPr>
                <w:b/>
                <w:bCs/>
                <w:color w:val="144035"/>
                <w:sz w:val="18"/>
                <w:szCs w:val="18"/>
              </w:rPr>
              <w:t xml:space="preserve">Use it for</w:t>
            </w:r>
          </w:p>
        </w:tc>
        <w:tc>
          <w:tcPr>
            <w:tcW w:type="dxa" w:w="2560"/>
            <w:shd w:fill="EAF1EE" w:val="clear"/>
            <w:tcMar>
              <w:top w:type="dxa" w:w="90"/>
              <w:left w:type="dxa" w:w="120"/>
              <w:bottom w:type="dxa" w:w="90"/>
              <w:right w:type="dxa" w:w="120"/>
            </w:tcMar>
          </w:tcPr>
          <w:p>
            <w:pPr>
              <w:spacing w:after="0" w:line="252"/>
            </w:pPr>
            <w:r>
              <w:rPr>
                <w:b/>
                <w:bCs/>
                <w:color w:val="144035"/>
                <w:sz w:val="18"/>
                <w:szCs w:val="18"/>
              </w:rPr>
              <w:t xml:space="preserve">Current version</w:t>
            </w:r>
          </w:p>
        </w:tc>
        <w:tc>
          <w:tcPr>
            <w:tcW w:type="dxa" w:w="3200"/>
            <w:shd w:fill="EAF1EE" w:val="clear"/>
            <w:tcMar>
              <w:top w:type="dxa" w:w="90"/>
              <w:left w:type="dxa" w:w="120"/>
              <w:bottom w:type="dxa" w:w="90"/>
              <w:right w:type="dxa" w:w="120"/>
            </w:tcMar>
          </w:tcPr>
          <w:p>
            <w:pPr>
              <w:spacing w:after="0" w:line="252"/>
            </w:pPr>
            <w:r>
              <w:rPr>
                <w:b/>
                <w:bCs/>
                <w:color w:val="144035"/>
                <w:sz w:val="18"/>
                <w:szCs w:val="18"/>
              </w:rPr>
              <w:t xml:space="preserve">What to watch</w:t>
            </w:r>
          </w:p>
        </w:tc>
      </w:tr>
      <w:tr>
        <w:tc>
          <w:tcPr>
            <w:tcW w:type="dxa" w:w="1750"/>
            <w:shd w:fill="FFFFFF" w:val="clear"/>
            <w:tcMar>
              <w:top w:type="dxa" w:w="90"/>
              <w:left w:type="dxa" w:w="120"/>
              <w:bottom w:type="dxa" w:w="90"/>
              <w:right w:type="dxa" w:w="120"/>
            </w:tcMar>
          </w:tcPr>
          <w:p>
            <w:pPr>
              <w:spacing w:after="0" w:line="252"/>
            </w:pPr>
            <w:r>
              <w:rPr>
                <w:color w:val="1A1A1A"/>
                <w:sz w:val="18"/>
                <w:szCs w:val="18"/>
              </w:rPr>
              <w:t xml:space="preserve">EPA GHG Emission Factors Hub</w:t>
            </w:r>
          </w:p>
        </w:tc>
        <w:tc>
          <w:tcPr>
            <w:tcW w:type="dxa" w:w="1850"/>
            <w:shd w:fill="FFFFFF" w:val="clear"/>
            <w:tcMar>
              <w:top w:type="dxa" w:w="90"/>
              <w:left w:type="dxa" w:w="120"/>
              <w:bottom w:type="dxa" w:w="90"/>
              <w:right w:type="dxa" w:w="120"/>
            </w:tcMar>
          </w:tcPr>
          <w:p>
            <w:pPr>
              <w:spacing w:after="0" w:line="252"/>
            </w:pPr>
            <w:r>
              <w:rPr>
                <w:color w:val="1A1A1A"/>
                <w:sz w:val="18"/>
                <w:szCs w:val="18"/>
              </w:rPr>
              <w:t xml:space="preserve">US Scope 1 and Scope 3 default factors</w:t>
            </w:r>
          </w:p>
        </w:tc>
        <w:tc>
          <w:tcPr>
            <w:tcW w:type="dxa" w:w="2560"/>
            <w:shd w:fill="FFFFFF" w:val="clear"/>
            <w:tcMar>
              <w:top w:type="dxa" w:w="90"/>
              <w:left w:type="dxa" w:w="120"/>
              <w:bottom w:type="dxa" w:w="90"/>
              <w:right w:type="dxa" w:w="120"/>
            </w:tcMar>
          </w:tcPr>
          <w:p>
            <w:pPr>
              <w:spacing w:after="0" w:line="252"/>
            </w:pPr>
            <w:r>
              <w:rPr>
                <w:color w:val="1A1A1A"/>
                <w:sz w:val="18"/>
                <w:szCs w:val="18"/>
              </w:rPr>
              <w:t xml:space="preserve">January 2025 edition, the last official EPA release</w:t>
            </w:r>
          </w:p>
        </w:tc>
        <w:tc>
          <w:tcPr>
            <w:tcW w:type="dxa" w:w="3200"/>
            <w:shd w:fill="FFFFFF" w:val="clear"/>
            <w:tcMar>
              <w:top w:type="dxa" w:w="90"/>
              <w:left w:type="dxa" w:w="120"/>
              <w:bottom w:type="dxa" w:w="90"/>
              <w:right w:type="dxa" w:w="120"/>
            </w:tcMar>
          </w:tcPr>
          <w:p>
            <w:pPr>
              <w:spacing w:after="0" w:line="252"/>
            </w:pPr>
            <w:r>
              <w:rPr>
                <w:color w:val="1A1A1A"/>
                <w:sz w:val="18"/>
                <w:szCs w:val="18"/>
              </w:rPr>
              <w:t xml:space="preserve">No confirmed official 2026 edition. Community rebuilds circulate; label them as such.</w:t>
            </w:r>
          </w:p>
        </w:tc>
      </w:tr>
      <w:tr>
        <w:tc>
          <w:tcPr>
            <w:tcW w:type="dxa" w:w="1750"/>
            <w:shd w:fill="F7FAF9" w:val="clear"/>
            <w:tcMar>
              <w:top w:type="dxa" w:w="90"/>
              <w:left w:type="dxa" w:w="120"/>
              <w:bottom w:type="dxa" w:w="90"/>
              <w:right w:type="dxa" w:w="120"/>
            </w:tcMar>
          </w:tcPr>
          <w:p>
            <w:pPr>
              <w:spacing w:after="0" w:line="252"/>
            </w:pPr>
            <w:r>
              <w:rPr>
                <w:color w:val="1A1A1A"/>
                <w:sz w:val="18"/>
                <w:szCs w:val="18"/>
              </w:rPr>
              <w:t xml:space="preserve">EPA eGRID</w:t>
            </w:r>
          </w:p>
        </w:tc>
        <w:tc>
          <w:tcPr>
            <w:tcW w:type="dxa" w:w="1850"/>
            <w:shd w:fill="F7FAF9" w:val="clear"/>
            <w:tcMar>
              <w:top w:type="dxa" w:w="90"/>
              <w:left w:type="dxa" w:w="120"/>
              <w:bottom w:type="dxa" w:w="90"/>
              <w:right w:type="dxa" w:w="120"/>
            </w:tcMar>
          </w:tcPr>
          <w:p>
            <w:pPr>
              <w:spacing w:after="0" w:line="252"/>
            </w:pPr>
            <w:r>
              <w:rPr>
                <w:color w:val="1A1A1A"/>
                <w:sz w:val="18"/>
                <w:szCs w:val="18"/>
              </w:rPr>
              <w:t xml:space="preserve">US Scope 2 location-based grid factors</w:t>
            </w:r>
          </w:p>
        </w:tc>
        <w:tc>
          <w:tcPr>
            <w:tcW w:type="dxa" w:w="2560"/>
            <w:shd w:fill="F7FAF9" w:val="clear"/>
            <w:tcMar>
              <w:top w:type="dxa" w:w="90"/>
              <w:left w:type="dxa" w:w="120"/>
              <w:bottom w:type="dxa" w:w="90"/>
              <w:right w:type="dxa" w:w="120"/>
            </w:tcMar>
          </w:tcPr>
          <w:p>
            <w:pPr>
              <w:spacing w:after="0" w:line="252"/>
            </w:pPr>
            <w:r>
              <w:rPr>
                <w:color w:val="1A1A1A"/>
                <w:sz w:val="18"/>
                <w:szCs w:val="18"/>
              </w:rPr>
              <w:t xml:space="preserve">eGRID2023 rev2, released 12 June 2025</w:t>
            </w:r>
          </w:p>
        </w:tc>
        <w:tc>
          <w:tcPr>
            <w:tcW w:type="dxa" w:w="3200"/>
            <w:shd w:fill="F7FAF9" w:val="clear"/>
            <w:tcMar>
              <w:top w:type="dxa" w:w="90"/>
              <w:left w:type="dxa" w:w="120"/>
              <w:bottom w:type="dxa" w:w="90"/>
              <w:right w:type="dxa" w:w="120"/>
            </w:tcMar>
          </w:tcPr>
          <w:p>
            <w:pPr>
              <w:spacing w:after="0" w:line="252"/>
            </w:pPr>
            <w:r>
              <w:rPr>
                <w:color w:val="1A1A1A"/>
                <w:sz w:val="18"/>
                <w:szCs w:val="18"/>
              </w:rPr>
              <w:t xml:space="preserve">eGRID2024 was expected January 2026 and has not appeared. Production is reported paused.</w:t>
            </w:r>
          </w:p>
        </w:tc>
      </w:tr>
      <w:tr>
        <w:tc>
          <w:tcPr>
            <w:tcW w:type="dxa" w:w="1750"/>
            <w:shd w:fill="FFFFFF" w:val="clear"/>
            <w:tcMar>
              <w:top w:type="dxa" w:w="90"/>
              <w:left w:type="dxa" w:w="120"/>
              <w:bottom w:type="dxa" w:w="90"/>
              <w:right w:type="dxa" w:w="120"/>
            </w:tcMar>
          </w:tcPr>
          <w:p>
            <w:pPr>
              <w:spacing w:after="0" w:line="252"/>
            </w:pPr>
            <w:r>
              <w:rPr>
                <w:color w:val="1A1A1A"/>
                <w:sz w:val="18"/>
                <w:szCs w:val="18"/>
              </w:rPr>
              <w:t xml:space="preserve">IPCC AR6 GWP-100</w:t>
            </w:r>
          </w:p>
        </w:tc>
        <w:tc>
          <w:tcPr>
            <w:tcW w:type="dxa" w:w="1850"/>
            <w:shd w:fill="FFFFFF" w:val="clear"/>
            <w:tcMar>
              <w:top w:type="dxa" w:w="90"/>
              <w:left w:type="dxa" w:w="120"/>
              <w:bottom w:type="dxa" w:w="90"/>
              <w:right w:type="dxa" w:w="120"/>
            </w:tcMar>
          </w:tcPr>
          <w:p>
            <w:pPr>
              <w:spacing w:after="0" w:line="252"/>
            </w:pPr>
            <w:r>
              <w:rPr>
                <w:color w:val="1A1A1A"/>
                <w:sz w:val="18"/>
                <w:szCs w:val="18"/>
              </w:rPr>
              <w:t xml:space="preserve">Converting CH₄ and N₂O to CO₂e</w:t>
            </w:r>
          </w:p>
        </w:tc>
        <w:tc>
          <w:tcPr>
            <w:tcW w:type="dxa" w:w="2560"/>
            <w:shd w:fill="FFFFFF" w:val="clear"/>
            <w:tcMar>
              <w:top w:type="dxa" w:w="90"/>
              <w:left w:type="dxa" w:w="120"/>
              <w:bottom w:type="dxa" w:w="90"/>
              <w:right w:type="dxa" w:w="120"/>
            </w:tcMar>
          </w:tcPr>
          <w:p>
            <w:pPr>
              <w:spacing w:after="0" w:line="252"/>
            </w:pPr>
            <w:r>
              <w:rPr>
                <w:color w:val="1A1A1A"/>
                <w:sz w:val="18"/>
                <w:szCs w:val="18"/>
              </w:rPr>
              <w:t xml:space="preserve">Fossil CH₄ 29.8 · Non-fossil CH₄ 27.0 · N₂O 273</w:t>
            </w:r>
          </w:p>
        </w:tc>
        <w:tc>
          <w:tcPr>
            <w:tcW w:type="dxa" w:w="3200"/>
            <w:shd w:fill="FFFFFF" w:val="clear"/>
            <w:tcMar>
              <w:top w:type="dxa" w:w="90"/>
              <w:left w:type="dxa" w:w="120"/>
              <w:bottom w:type="dxa" w:w="90"/>
              <w:right w:type="dxa" w:w="120"/>
            </w:tcMar>
          </w:tcPr>
          <w:p>
            <w:pPr>
              <w:spacing w:after="0" w:line="252"/>
            </w:pPr>
            <w:r>
              <w:rPr>
                <w:color w:val="1A1A1A"/>
                <w:sz w:val="18"/>
                <w:szCs w:val="18"/>
              </w:rPr>
              <w:t xml:space="preserve">Confirm which set the prior year used. Mixing AR5 and AR6 breaks the trend line.</w:t>
            </w:r>
          </w:p>
        </w:tc>
      </w:tr>
      <w:tr>
        <w:tc>
          <w:tcPr>
            <w:tcW w:type="dxa" w:w="1750"/>
            <w:shd w:fill="F7FAF9" w:val="clear"/>
            <w:tcMar>
              <w:top w:type="dxa" w:w="90"/>
              <w:left w:type="dxa" w:w="120"/>
              <w:bottom w:type="dxa" w:w="90"/>
              <w:right w:type="dxa" w:w="120"/>
            </w:tcMar>
          </w:tcPr>
          <w:p>
            <w:pPr>
              <w:spacing w:after="0" w:line="252"/>
            </w:pPr>
            <w:r>
              <w:rPr>
                <w:color w:val="1A1A1A"/>
                <w:sz w:val="18"/>
                <w:szCs w:val="18"/>
              </w:rPr>
              <w:t xml:space="preserve">GHG Protocol Scope 2 Guidance</w:t>
            </w:r>
          </w:p>
        </w:tc>
        <w:tc>
          <w:tcPr>
            <w:tcW w:type="dxa" w:w="1850"/>
            <w:shd w:fill="F7FAF9" w:val="clear"/>
            <w:tcMar>
              <w:top w:type="dxa" w:w="90"/>
              <w:left w:type="dxa" w:w="120"/>
              <w:bottom w:type="dxa" w:w="90"/>
              <w:right w:type="dxa" w:w="120"/>
            </w:tcMar>
          </w:tcPr>
          <w:p>
            <w:pPr>
              <w:spacing w:after="0" w:line="252"/>
            </w:pPr>
            <w:r>
              <w:rPr>
                <w:color w:val="1A1A1A"/>
                <w:sz w:val="18"/>
                <w:szCs w:val="18"/>
              </w:rPr>
              <w:t xml:space="preserve">Market-based and location-based method</w:t>
            </w:r>
          </w:p>
        </w:tc>
        <w:tc>
          <w:tcPr>
            <w:tcW w:type="dxa" w:w="2560"/>
            <w:shd w:fill="F7FAF9" w:val="clear"/>
            <w:tcMar>
              <w:top w:type="dxa" w:w="90"/>
              <w:left w:type="dxa" w:w="120"/>
              <w:bottom w:type="dxa" w:w="90"/>
              <w:right w:type="dxa" w:w="120"/>
            </w:tcMar>
          </w:tcPr>
          <w:p>
            <w:pPr>
              <w:spacing w:after="0" w:line="252"/>
            </w:pPr>
            <w:r>
              <w:rPr>
                <w:color w:val="1A1A1A"/>
                <w:sz w:val="18"/>
                <w:szCs w:val="18"/>
              </w:rPr>
              <w:t xml:space="preserve">2015 Guidance, still in force</w:t>
            </w:r>
          </w:p>
        </w:tc>
        <w:tc>
          <w:tcPr>
            <w:tcW w:type="dxa" w:w="3200"/>
            <w:shd w:fill="F7FAF9" w:val="clear"/>
            <w:tcMar>
              <w:top w:type="dxa" w:w="90"/>
              <w:left w:type="dxa" w:w="120"/>
              <w:bottom w:type="dxa" w:w="90"/>
              <w:right w:type="dxa" w:w="120"/>
            </w:tcMar>
          </w:tcPr>
          <w:p>
            <w:pPr>
              <w:spacing w:after="0" w:line="252"/>
            </w:pPr>
            <w:r>
              <w:rPr>
                <w:color w:val="1A1A1A"/>
                <w:sz w:val="18"/>
                <w:szCs w:val="18"/>
              </w:rPr>
              <w:t xml:space="preserve">Revision in consultation. Hourly matching, deliverability and a marginal-impact metric proposed. Final expected around end-2027.</w:t>
            </w:r>
          </w:p>
        </w:tc>
      </w:tr>
      <w:tr>
        <w:tc>
          <w:tcPr>
            <w:tcW w:type="dxa" w:w="1750"/>
            <w:shd w:fill="FFFFFF" w:val="clear"/>
            <w:tcMar>
              <w:top w:type="dxa" w:w="90"/>
              <w:left w:type="dxa" w:w="120"/>
              <w:bottom w:type="dxa" w:w="90"/>
              <w:right w:type="dxa" w:w="120"/>
            </w:tcMar>
          </w:tcPr>
          <w:p>
            <w:pPr>
              <w:spacing w:after="0" w:line="252"/>
            </w:pPr>
            <w:r>
              <w:rPr>
                <w:color w:val="1A1A1A"/>
                <w:sz w:val="18"/>
                <w:szCs w:val="18"/>
              </w:rPr>
              <w:t xml:space="preserve">SBTi Corporate Net-Zero Standard</w:t>
            </w:r>
          </w:p>
        </w:tc>
        <w:tc>
          <w:tcPr>
            <w:tcW w:type="dxa" w:w="1850"/>
            <w:shd w:fill="FFFFFF" w:val="clear"/>
            <w:tcMar>
              <w:top w:type="dxa" w:w="90"/>
              <w:left w:type="dxa" w:w="120"/>
              <w:bottom w:type="dxa" w:w="90"/>
              <w:right w:type="dxa" w:w="120"/>
            </w:tcMar>
          </w:tcPr>
          <w:p>
            <w:pPr>
              <w:spacing w:after="0" w:line="252"/>
            </w:pPr>
            <w:r>
              <w:rPr>
                <w:color w:val="1A1A1A"/>
                <w:sz w:val="18"/>
                <w:szCs w:val="18"/>
              </w:rPr>
              <w:t xml:space="preserve">Target setting and validation</w:t>
            </w:r>
          </w:p>
        </w:tc>
        <w:tc>
          <w:tcPr>
            <w:tcW w:type="dxa" w:w="2560"/>
            <w:shd w:fill="FFFFFF" w:val="clear"/>
            <w:tcMar>
              <w:top w:type="dxa" w:w="90"/>
              <w:left w:type="dxa" w:w="120"/>
              <w:bottom w:type="dxa" w:w="90"/>
              <w:right w:type="dxa" w:w="120"/>
            </w:tcMar>
          </w:tcPr>
          <w:p>
            <w:pPr>
              <w:spacing w:after="0" w:line="252"/>
            </w:pPr>
            <w:r>
              <w:rPr>
                <w:color w:val="1A1A1A"/>
                <w:sz w:val="18"/>
                <w:szCs w:val="18"/>
              </w:rPr>
              <w:t xml:space="preserve">V2.0 published 11 June 2026</w:t>
            </w:r>
          </w:p>
        </w:tc>
        <w:tc>
          <w:tcPr>
            <w:tcW w:type="dxa" w:w="3200"/>
            <w:shd w:fill="FFFFFF" w:val="clear"/>
            <w:tcMar>
              <w:top w:type="dxa" w:w="90"/>
              <w:left w:type="dxa" w:w="120"/>
              <w:bottom w:type="dxa" w:w="90"/>
              <w:right w:type="dxa" w:w="120"/>
            </w:tcMar>
          </w:tcPr>
          <w:p>
            <w:pPr>
              <w:spacing w:after="0" w:line="252"/>
            </w:pPr>
            <w:r>
              <w:rPr>
                <w:color w:val="1A1A1A"/>
                <w:sz w:val="18"/>
                <w:szCs w:val="18"/>
              </w:rPr>
              <w:t xml:space="preserve">V1.3.1 governs validation through 2026. V2.0 optional from 1 Feb 2027, required for new submissions from 1 Feb 2028.</w:t>
            </w:r>
          </w:p>
        </w:tc>
      </w:tr>
      <w:tr>
        <w:tc>
          <w:tcPr>
            <w:tcW w:type="dxa" w:w="1750"/>
            <w:shd w:fill="F7FAF9" w:val="clear"/>
            <w:tcMar>
              <w:top w:type="dxa" w:w="90"/>
              <w:left w:type="dxa" w:w="120"/>
              <w:bottom w:type="dxa" w:w="90"/>
              <w:right w:type="dxa" w:w="120"/>
            </w:tcMar>
          </w:tcPr>
          <w:p>
            <w:pPr>
              <w:spacing w:after="0" w:line="252"/>
            </w:pPr>
            <w:r>
              <w:rPr>
                <w:color w:val="1A1A1A"/>
                <w:sz w:val="18"/>
                <w:szCs w:val="18"/>
              </w:rPr>
              <w:t xml:space="preserve">California SB 253</w:t>
            </w:r>
          </w:p>
        </w:tc>
        <w:tc>
          <w:tcPr>
            <w:tcW w:type="dxa" w:w="1850"/>
            <w:shd w:fill="F7FAF9" w:val="clear"/>
            <w:tcMar>
              <w:top w:type="dxa" w:w="90"/>
              <w:left w:type="dxa" w:w="120"/>
              <w:bottom w:type="dxa" w:w="90"/>
              <w:right w:type="dxa" w:w="120"/>
            </w:tcMar>
          </w:tcPr>
          <w:p>
            <w:pPr>
              <w:spacing w:after="0" w:line="252"/>
            </w:pPr>
            <w:r>
              <w:rPr>
                <w:color w:val="1A1A1A"/>
                <w:sz w:val="18"/>
                <w:szCs w:val="18"/>
              </w:rPr>
              <w:t xml:space="preserve">US Scope 1 and 2 reporting</w:t>
            </w:r>
          </w:p>
        </w:tc>
        <w:tc>
          <w:tcPr>
            <w:tcW w:type="dxa" w:w="2560"/>
            <w:shd w:fill="F7FAF9" w:val="clear"/>
            <w:tcMar>
              <w:top w:type="dxa" w:w="90"/>
              <w:left w:type="dxa" w:w="120"/>
              <w:bottom w:type="dxa" w:w="90"/>
              <w:right w:type="dxa" w:w="120"/>
            </w:tcMar>
          </w:tcPr>
          <w:p>
            <w:pPr>
              <w:spacing w:after="0" w:line="252"/>
            </w:pPr>
            <w:r>
              <w:rPr>
                <w:color w:val="1A1A1A"/>
                <w:sz w:val="18"/>
                <w:szCs w:val="18"/>
              </w:rPr>
              <w:t xml:space="preserve">First reports due 10 November 2026</w:t>
            </w:r>
          </w:p>
        </w:tc>
        <w:tc>
          <w:tcPr>
            <w:tcW w:type="dxa" w:w="3200"/>
            <w:shd w:fill="F7FAF9" w:val="clear"/>
            <w:tcMar>
              <w:top w:type="dxa" w:w="90"/>
              <w:left w:type="dxa" w:w="120"/>
              <w:bottom w:type="dxa" w:w="90"/>
              <w:right w:type="dxa" w:w="120"/>
            </w:tcMar>
          </w:tcPr>
          <w:p>
            <w:pPr>
              <w:spacing w:after="0" w:line="252"/>
            </w:pPr>
            <w:r>
              <w:rPr>
                <w:color w:val="1A1A1A"/>
                <w:sz w:val="18"/>
                <w:szCs w:val="18"/>
              </w:rPr>
              <w:t xml:space="preserve">Moved back from 10 August 2026. Scope 3 and assurance follow in 2027.</w:t>
            </w:r>
          </w:p>
        </w:tc>
      </w:tr>
      <w:tr>
        <w:tc>
          <w:tcPr>
            <w:tcW w:type="dxa" w:w="1750"/>
            <w:shd w:fill="FFFFFF" w:val="clear"/>
            <w:tcMar>
              <w:top w:type="dxa" w:w="90"/>
              <w:left w:type="dxa" w:w="120"/>
              <w:bottom w:type="dxa" w:w="90"/>
              <w:right w:type="dxa" w:w="120"/>
            </w:tcMar>
          </w:tcPr>
          <w:p>
            <w:pPr>
              <w:spacing w:after="0" w:line="252"/>
            </w:pPr>
            <w:r>
              <w:rPr>
                <w:color w:val="1A1A1A"/>
                <w:sz w:val="18"/>
                <w:szCs w:val="18"/>
              </w:rPr>
              <w:t xml:space="preserve">California SB 261</w:t>
            </w:r>
          </w:p>
        </w:tc>
        <w:tc>
          <w:tcPr>
            <w:tcW w:type="dxa" w:w="1850"/>
            <w:shd w:fill="FFFFFF" w:val="clear"/>
            <w:tcMar>
              <w:top w:type="dxa" w:w="90"/>
              <w:left w:type="dxa" w:w="120"/>
              <w:bottom w:type="dxa" w:w="90"/>
              <w:right w:type="dxa" w:w="120"/>
            </w:tcMar>
          </w:tcPr>
          <w:p>
            <w:pPr>
              <w:spacing w:after="0" w:line="252"/>
            </w:pPr>
            <w:r>
              <w:rPr>
                <w:color w:val="1A1A1A"/>
                <w:sz w:val="18"/>
                <w:szCs w:val="18"/>
              </w:rPr>
              <w:t xml:space="preserve">Climate-related financial risk reporting</w:t>
            </w:r>
          </w:p>
        </w:tc>
        <w:tc>
          <w:tcPr>
            <w:tcW w:type="dxa" w:w="2560"/>
            <w:shd w:fill="FFFFFF" w:val="clear"/>
            <w:tcMar>
              <w:top w:type="dxa" w:w="90"/>
              <w:left w:type="dxa" w:w="120"/>
              <w:bottom w:type="dxa" w:w="90"/>
              <w:right w:type="dxa" w:w="120"/>
            </w:tcMar>
          </w:tcPr>
          <w:p>
            <w:pPr>
              <w:spacing w:after="0" w:line="252"/>
            </w:pPr>
            <w:r>
              <w:rPr>
                <w:color w:val="1A1A1A"/>
                <w:sz w:val="18"/>
                <w:szCs w:val="18"/>
              </w:rPr>
              <w:t xml:space="preserve">1 January 2026 deadline not being enforced</w:t>
            </w:r>
          </w:p>
        </w:tc>
        <w:tc>
          <w:tcPr>
            <w:tcW w:type="dxa" w:w="3200"/>
            <w:shd w:fill="FFFFFF" w:val="clear"/>
            <w:tcMar>
              <w:top w:type="dxa" w:w="90"/>
              <w:left w:type="dxa" w:w="120"/>
              <w:bottom w:type="dxa" w:w="90"/>
              <w:right w:type="dxa" w:w="120"/>
            </w:tcMar>
          </w:tcPr>
          <w:p>
            <w:pPr>
              <w:spacing w:after="0" w:line="252"/>
            </w:pPr>
            <w:r>
              <w:rPr>
                <w:color w:val="1A1A1A"/>
                <w:sz w:val="18"/>
                <w:szCs w:val="18"/>
              </w:rPr>
              <w:t xml:space="preserve">CARB will set an alternate date once the Ninth Circuit appeal resolves.</w:t>
            </w:r>
          </w:p>
        </w:tc>
      </w:tr>
      <w:tr>
        <w:tc>
          <w:tcPr>
            <w:tcW w:type="dxa" w:w="1750"/>
            <w:shd w:fill="F7FAF9" w:val="clear"/>
            <w:tcMar>
              <w:top w:type="dxa" w:w="90"/>
              <w:left w:type="dxa" w:w="120"/>
              <w:bottom w:type="dxa" w:w="90"/>
              <w:right w:type="dxa" w:w="120"/>
            </w:tcMar>
          </w:tcPr>
          <w:p>
            <w:pPr>
              <w:spacing w:after="0" w:line="252"/>
            </w:pPr>
            <w:r>
              <w:rPr>
                <w:color w:val="1A1A1A"/>
                <w:sz w:val="18"/>
                <w:szCs w:val="18"/>
              </w:rPr>
              <w:t xml:space="preserve">CSRD, as amended by Omnibus I</w:t>
            </w:r>
          </w:p>
        </w:tc>
        <w:tc>
          <w:tcPr>
            <w:tcW w:type="dxa" w:w="1850"/>
            <w:shd w:fill="F7FAF9" w:val="clear"/>
            <w:tcMar>
              <w:top w:type="dxa" w:w="90"/>
              <w:left w:type="dxa" w:w="120"/>
              <w:bottom w:type="dxa" w:w="90"/>
              <w:right w:type="dxa" w:w="120"/>
            </w:tcMar>
          </w:tcPr>
          <w:p>
            <w:pPr>
              <w:spacing w:after="0" w:line="252"/>
            </w:pPr>
            <w:r>
              <w:rPr>
                <w:color w:val="1A1A1A"/>
                <w:sz w:val="18"/>
                <w:szCs w:val="18"/>
              </w:rPr>
              <w:t xml:space="preserve">EU sustainability reporting</w:t>
            </w:r>
          </w:p>
        </w:tc>
        <w:tc>
          <w:tcPr>
            <w:tcW w:type="dxa" w:w="2560"/>
            <w:shd w:fill="F7FAF9" w:val="clear"/>
            <w:tcMar>
              <w:top w:type="dxa" w:w="90"/>
              <w:left w:type="dxa" w:w="120"/>
              <w:bottom w:type="dxa" w:w="90"/>
              <w:right w:type="dxa" w:w="120"/>
            </w:tcMar>
          </w:tcPr>
          <w:p>
            <w:pPr>
              <w:spacing w:after="0" w:line="252"/>
            </w:pPr>
            <w:r>
              <w:rPr>
                <w:color w:val="1A1A1A"/>
                <w:sz w:val="18"/>
                <w:szCs w:val="18"/>
              </w:rPr>
              <w:t xml:space="preserve">Directive (EU) 2026/470, in force 18 March 2026</w:t>
            </w:r>
          </w:p>
        </w:tc>
        <w:tc>
          <w:tcPr>
            <w:tcW w:type="dxa" w:w="3200"/>
            <w:shd w:fill="F7FAF9" w:val="clear"/>
            <w:tcMar>
              <w:top w:type="dxa" w:w="90"/>
              <w:left w:type="dxa" w:w="120"/>
              <w:bottom w:type="dxa" w:w="90"/>
              <w:right w:type="dxa" w:w="120"/>
            </w:tcMar>
          </w:tcPr>
          <w:p>
            <w:pPr>
              <w:spacing w:after="0" w:line="252"/>
            </w:pPr>
            <w:r>
              <w:rPr>
                <w:color w:val="1A1A1A"/>
                <w:sz w:val="18"/>
                <w:szCs w:val="18"/>
              </w:rPr>
              <w:t xml:space="preserve">Scope is now more than 1,000 employees AND turnover above €450m, both required. Revised ESRS still in draft.</w:t>
            </w:r>
          </w:p>
        </w:tc>
      </w:tr>
      <w:tr>
        <w:tc>
          <w:tcPr>
            <w:tcW w:type="dxa" w:w="1750"/>
            <w:shd w:fill="FFFFFF" w:val="clear"/>
            <w:tcMar>
              <w:top w:type="dxa" w:w="90"/>
              <w:left w:type="dxa" w:w="120"/>
              <w:bottom w:type="dxa" w:w="90"/>
              <w:right w:type="dxa" w:w="120"/>
            </w:tcMar>
          </w:tcPr>
          <w:p>
            <w:pPr>
              <w:spacing w:after="0" w:line="252"/>
            </w:pPr>
            <w:r>
              <w:rPr>
                <w:color w:val="1A1A1A"/>
                <w:sz w:val="18"/>
                <w:szCs w:val="18"/>
              </w:rPr>
              <w:t xml:space="preserve">SEC climate disclosure rules</w:t>
            </w:r>
          </w:p>
        </w:tc>
        <w:tc>
          <w:tcPr>
            <w:tcW w:type="dxa" w:w="1850"/>
            <w:shd w:fill="FFFFFF" w:val="clear"/>
            <w:tcMar>
              <w:top w:type="dxa" w:w="90"/>
              <w:left w:type="dxa" w:w="120"/>
              <w:bottom w:type="dxa" w:w="90"/>
              <w:right w:type="dxa" w:w="120"/>
            </w:tcMar>
          </w:tcPr>
          <w:p>
            <w:pPr>
              <w:spacing w:after="0" w:line="252"/>
            </w:pPr>
            <w:r>
              <w:rPr>
                <w:color w:val="1A1A1A"/>
                <w:sz w:val="18"/>
                <w:szCs w:val="18"/>
              </w:rPr>
              <w:t xml:space="preserve">US securities disclosure</w:t>
            </w:r>
          </w:p>
        </w:tc>
        <w:tc>
          <w:tcPr>
            <w:tcW w:type="dxa" w:w="2560"/>
            <w:shd w:fill="FFFFFF" w:val="clear"/>
            <w:tcMar>
              <w:top w:type="dxa" w:w="90"/>
              <w:left w:type="dxa" w:w="120"/>
              <w:bottom w:type="dxa" w:w="90"/>
              <w:right w:type="dxa" w:w="120"/>
            </w:tcMar>
          </w:tcPr>
          <w:p>
            <w:pPr>
              <w:spacing w:after="0" w:line="252"/>
            </w:pPr>
            <w:r>
              <w:rPr>
                <w:color w:val="1A1A1A"/>
                <w:sz w:val="18"/>
                <w:szCs w:val="18"/>
              </w:rPr>
              <w:t xml:space="preserve">Rescission proposed 29 May 2026</w:t>
            </w:r>
          </w:p>
        </w:tc>
        <w:tc>
          <w:tcPr>
            <w:tcW w:type="dxa" w:w="3200"/>
            <w:shd w:fill="FFFFFF" w:val="clear"/>
            <w:tcMar>
              <w:top w:type="dxa" w:w="90"/>
              <w:left w:type="dxa" w:w="120"/>
              <w:bottom w:type="dxa" w:w="90"/>
              <w:right w:type="dxa" w:w="120"/>
            </w:tcMar>
          </w:tcPr>
          <w:p>
            <w:pPr>
              <w:spacing w:after="0" w:line="252"/>
            </w:pPr>
            <w:r>
              <w:rPr>
                <w:color w:val="1A1A1A"/>
                <w:sz w:val="18"/>
                <w:szCs w:val="18"/>
              </w:rPr>
              <w:t xml:space="preserve">Treat as not in force. Do not build a deliverable around it.</w:t>
            </w:r>
          </w:p>
        </w:tc>
      </w:tr>
    </w:tbl>
    <w:p>
      <w:pPr>
        <w:spacing w:after="100"/>
      </w:pPr>
      <w:r>
        <w:t xml:space="preserve"/>
      </w:r>
    </w:p>
    <w:p>
      <w:pPr>
        <w:pStyle w:val="Heading2"/>
        <w:spacing w:after="100" w:before="200"/>
      </w:pPr>
      <w:r>
        <w:rPr>
          <w:b/>
          <w:bCs/>
          <w:color w:val="1A1A1A"/>
          <w:sz w:val="23"/>
          <w:szCs w:val="23"/>
        </w:rPr>
        <w:t xml:space="preserve">The US data gap, and how to handle it</w:t>
      </w:r>
    </w:p>
    <w:p>
      <w:pPr>
        <w:spacing w:after="120" w:line="276"/>
      </w:pPr>
      <w:r>
        <w:rPr>
          <w:color w:val="1A1A1A"/>
          <w:sz w:val="22"/>
          <w:szCs w:val="22"/>
        </w:rPr>
        <w:t xml:space="preserve">This is the live issue for any US inventory right now. Both EPA workhorse datasets have stalled: the last official eGRID covers data year 2023, and the last official Emission Factors Hub edition is January 2025. Independent rebuilds exist. One group ran EPA's own code against 2024 inputs and found subregion factors down roughly 3 percent against 2023.</w:t>
      </w:r>
    </w:p>
    <w:p>
      <w:pPr>
        <w:spacing w:after="120" w:line="276"/>
      </w:pPr>
      <w:r>
        <w:rPr>
          <w:color w:val="1A1A1A"/>
          <w:sz w:val="22"/>
          <w:szCs w:val="22"/>
        </w:rPr>
        <w:t xml:space="preserve">Handle it in this order:</w:t>
      </w:r>
    </w:p>
    <w:p>
      <w:pPr>
        <w:pStyle w:val="ListParagraph"/>
        <w:numPr>
          <w:ilvl w:val="0"/>
          <w:numId w:val="2"/>
        </w:numPr>
        <w:spacing w:after="90" w:line="276"/>
      </w:pPr>
      <w:r>
        <w:rPr>
          <w:color w:val="1A1A1A"/>
          <w:sz w:val="22"/>
          <w:szCs w:val="22"/>
        </w:rPr>
        <w:t xml:space="preserve">Use the last official EPA version and state the vintage plainly in the deliverable.</w:t>
      </w:r>
    </w:p>
    <w:p>
      <w:pPr>
        <w:pStyle w:val="ListParagraph"/>
        <w:numPr>
          <w:ilvl w:val="0"/>
          <w:numId w:val="2"/>
        </w:numPr>
        <w:spacing w:after="90" w:line="276"/>
      </w:pPr>
      <w:r>
        <w:rPr>
          <w:color w:val="1A1A1A"/>
          <w:sz w:val="22"/>
          <w:szCs w:val="22"/>
        </w:rPr>
        <w:t xml:space="preserve">If the client needs a 2024 view, run the rebuild as a clearly labelled sensitivity case beside the official figure.</w:t>
      </w:r>
    </w:p>
    <w:p>
      <w:pPr>
        <w:pStyle w:val="ListParagraph"/>
        <w:numPr>
          <w:ilvl w:val="0"/>
          <w:numId w:val="2"/>
        </w:numPr>
        <w:spacing w:after="90" w:line="276"/>
      </w:pPr>
      <w:r>
        <w:rPr>
          <w:color w:val="1A1A1A"/>
          <w:sz w:val="22"/>
          <w:szCs w:val="22"/>
        </w:rPr>
        <w:t xml:space="preserve">Never swap a rebuild in silently. If it moves the total, the client has to know why.</w:t>
      </w:r>
    </w:p>
    <w:p>
      <w:pPr>
        <w:spacing w:after="120" w:line="276"/>
      </w:pPr>
      <w:r>
        <w:rPr>
          <w:color w:val="1A1A1A"/>
          <w:sz w:val="22"/>
          <w:szCs w:val="22"/>
        </w:rPr>
        <w:t xml:space="preserve">One line in the methodology note covers you:</w:t>
      </w:r>
    </w:p>
    <w:p>
      <w:pPr>
        <w:shd w:fill="F2F4F3" w:val="clear"/>
        <w:spacing w:after="20" w:line="240"/>
        <w:ind w:left="240"/>
      </w:pPr>
      <w:r>
        <w:rPr>
          <w:rFonts w:ascii="Consolas" w:cs="Consolas" w:eastAsia="Consolas" w:hAnsi="Consolas"/>
          <w:color w:val="22332E"/>
          <w:sz w:val="18"/>
          <w:szCs w:val="18"/>
        </w:rPr>
        <w:t xml:space="preserve">Grid factors are eGRID2023 rev2 (EPA, June 2025), the most recent official</w:t>
      </w:r>
    </w:p>
    <w:p>
      <w:pPr>
        <w:shd w:fill="F2F4F3" w:val="clear"/>
        <w:spacing w:after="60" w:line="240"/>
        <w:ind w:left="240"/>
      </w:pPr>
      <w:r>
        <w:rPr>
          <w:rFonts w:ascii="Consolas" w:cs="Consolas" w:eastAsia="Consolas" w:hAnsi="Consolas"/>
          <w:color w:val="22332E"/>
          <w:sz w:val="18"/>
          <w:szCs w:val="18"/>
        </w:rPr>
        <w:t xml:space="preserve">release. EPA has not published a 2024 data year.</w:t>
      </w:r>
    </w:p>
    <w:p>
      <w:pPr>
        <w:pStyle w:val="Heading1"/>
        <w:pBdr>
          <w:bottom w:val="single" w:color="C9D6D1" w:sz="6" w:space="6"/>
        </w:pBdr>
        <w:spacing w:after="140" w:before="320"/>
      </w:pPr>
      <w:r>
        <w:rPr>
          <w:b/>
          <w:bCs/>
          <w:color w:val="1F5C4D"/>
          <w:sz w:val="28"/>
          <w:szCs w:val="28"/>
        </w:rPr>
        <w:t xml:space="preserve">4.  The run loop</w:t>
      </w:r>
    </w:p>
    <w:p>
      <w:pPr>
        <w:spacing w:after="120" w:line="276"/>
      </w:pPr>
      <w:r>
        <w:rPr>
          <w:color w:val="1A1A1A"/>
          <w:sz w:val="22"/>
          <w:szCs w:val="22"/>
        </w:rPr>
        <w:t xml:space="preserve">Work every deliverable in five passes. Do not jump to the narrative.</w:t>
      </w:r>
    </w:p>
    <w:p>
      <w:pPr>
        <w:pStyle w:val="ListParagraph"/>
        <w:numPr>
          <w:ilvl w:val="0"/>
          <w:numId w:val="2"/>
        </w:numPr>
        <w:spacing w:after="90" w:line="276"/>
      </w:pPr>
      <w:r>
        <w:rPr>
          <w:b/>
          <w:bCs/>
          <w:color w:val="1A1A1A"/>
          <w:sz w:val="22"/>
          <w:szCs w:val="22"/>
        </w:rPr>
        <w:t xml:space="preserve">Data audit.  </w:t>
      </w:r>
      <w:r>
        <w:rPr>
          <w:color w:val="1A1A1A"/>
          <w:sz w:val="22"/>
          <w:szCs w:val="22"/>
        </w:rPr>
        <w:t xml:space="preserve">Point Claude Code at data/raw/ and ask what is actually there: row counts, date ranges, units, blanks, duplicates, outliers. Fix the data before any factor touches it. Most bad inventories go wrong here, not in the maths.</w:t>
      </w:r>
    </w:p>
    <w:p>
      <w:pPr>
        <w:pStyle w:val="ListParagraph"/>
        <w:numPr>
          <w:ilvl w:val="0"/>
          <w:numId w:val="2"/>
        </w:numPr>
        <w:spacing w:after="90" w:line="276"/>
      </w:pPr>
      <w:r>
        <w:rPr>
          <w:b/>
          <w:bCs/>
          <w:color w:val="1A1A1A"/>
          <w:sz w:val="22"/>
          <w:szCs w:val="22"/>
        </w:rPr>
        <w:t xml:space="preserve">Factor binding.  </w:t>
      </w:r>
      <w:r>
        <w:rPr>
          <w:color w:val="1A1A1A"/>
          <w:sz w:val="22"/>
          <w:szCs w:val="22"/>
        </w:rPr>
        <w:t xml:space="preserve">Match each activity line to a factor and record the match in a table: activity, factor value, unit, source file, row. Anything unmatched stays visible rather than defaulting.</w:t>
      </w:r>
    </w:p>
    <w:p>
      <w:pPr>
        <w:pStyle w:val="ListParagraph"/>
        <w:numPr>
          <w:ilvl w:val="0"/>
          <w:numId w:val="2"/>
        </w:numPr>
        <w:spacing w:after="90" w:line="276"/>
      </w:pPr>
      <w:r>
        <w:rPr>
          <w:b/>
          <w:bCs/>
          <w:color w:val="1A1A1A"/>
          <w:sz w:val="22"/>
          <w:szCs w:val="22"/>
        </w:rPr>
        <w:t xml:space="preserve">Calculation.  </w:t>
      </w:r>
      <w:r>
        <w:rPr>
          <w:color w:val="1A1A1A"/>
          <w:sz w:val="22"/>
          <w:szCs w:val="22"/>
        </w:rPr>
        <w:t xml:space="preserve">Arithmetic goes in a script under analysis/, never in chat. A script can be rerun, diffed and checked by someone else. A chat answer cannot.</w:t>
      </w:r>
    </w:p>
    <w:p>
      <w:pPr>
        <w:pStyle w:val="ListParagraph"/>
        <w:numPr>
          <w:ilvl w:val="0"/>
          <w:numId w:val="2"/>
        </w:numPr>
        <w:spacing w:after="90" w:line="276"/>
      </w:pPr>
      <w:r>
        <w:rPr>
          <w:b/>
          <w:bCs/>
          <w:color w:val="1A1A1A"/>
          <w:sz w:val="22"/>
          <w:szCs w:val="22"/>
        </w:rPr>
        <w:t xml:space="preserve">Reconciliation.  </w:t>
      </w:r>
      <w:r>
        <w:rPr>
          <w:color w:val="1A1A1A"/>
          <w:sz w:val="22"/>
          <w:szCs w:val="22"/>
        </w:rPr>
        <w:t xml:space="preserve">Tie totals back to something the client already holds: a utility bill, last year's inventory, a spend ledger. Explain every variance above your materiality threshold.</w:t>
      </w:r>
    </w:p>
    <w:p>
      <w:pPr>
        <w:pStyle w:val="ListParagraph"/>
        <w:numPr>
          <w:ilvl w:val="0"/>
          <w:numId w:val="2"/>
        </w:numPr>
        <w:spacing w:after="90" w:line="276"/>
      </w:pPr>
      <w:r>
        <w:rPr>
          <w:b/>
          <w:bCs/>
          <w:color w:val="1A1A1A"/>
          <w:sz w:val="22"/>
          <w:szCs w:val="22"/>
        </w:rPr>
        <w:t xml:space="preserve">Narrative.  </w:t>
      </w:r>
      <w:r>
        <w:rPr>
          <w:color w:val="1A1A1A"/>
          <w:sz w:val="22"/>
          <w:szCs w:val="22"/>
        </w:rPr>
        <w:t xml:space="preserve">Only now write the memo or disclosure text, and write it off the reconciled numbers.</w:t>
      </w:r>
    </w:p>
    <w:p>
      <w:pPr>
        <w:pStyle w:val="Heading1"/>
        <w:pBdr>
          <w:bottom w:val="single" w:color="C9D6D1" w:sz="6" w:space="6"/>
        </w:pBdr>
        <w:spacing w:after="140" w:before="320"/>
      </w:pPr>
      <w:r>
        <w:rPr>
          <w:b/>
          <w:bCs/>
          <w:color w:val="1F5C4D"/>
          <w:sz w:val="28"/>
          <w:szCs w:val="28"/>
        </w:rPr>
        <w:t xml:space="preserve">5.  Verification gates</w:t>
      </w:r>
    </w:p>
    <w:p>
      <w:pPr>
        <w:spacing w:after="120" w:line="276"/>
      </w:pPr>
      <w:r>
        <w:rPr>
          <w:color w:val="1A1A1A"/>
          <w:sz w:val="22"/>
          <w:szCs w:val="22"/>
        </w:rPr>
        <w:t xml:space="preserve">Run these before anything leaves your desk. They take about ten minutes and catch most of what assurance would catch later at a much higher cost.</w:t>
      </w:r>
    </w:p>
    <w:tbl>
      <w:tblPr>
        <w:tblW w:type="dxa" w:w="9360"/>
        <w:tblBorders>
          <w:top w:val="single" w:color="C9D6D1" w:sz="4"/>
          <w:left w:val="single" w:color="C9D6D1" w:sz="4"/>
          <w:bottom w:val="single" w:color="C9D6D1" w:sz="4"/>
          <w:right w:val="single" w:color="C9D6D1" w:sz="4"/>
          <w:insideH w:val="single" w:color="C9D6D1" w:sz="4"/>
          <w:insideV w:val="single" w:color="C9D6D1" w:sz="4"/>
        </w:tblBorders>
      </w:tblPr>
      <w:tblGrid>
        <w:gridCol w:w="1700"/>
        <w:gridCol w:w="4000"/>
        <w:gridCol w:w="3660"/>
      </w:tblGrid>
      <w:tr>
        <w:trPr>
          <w:tblHeader/>
        </w:trPr>
        <w:tc>
          <w:tcPr>
            <w:tcW w:type="dxa" w:w="1700"/>
            <w:shd w:fill="EAF1EE" w:val="clear"/>
            <w:tcMar>
              <w:top w:type="dxa" w:w="90"/>
              <w:left w:type="dxa" w:w="120"/>
              <w:bottom w:type="dxa" w:w="90"/>
              <w:right w:type="dxa" w:w="120"/>
            </w:tcMar>
          </w:tcPr>
          <w:p>
            <w:pPr>
              <w:spacing w:after="0" w:line="252"/>
            </w:pPr>
            <w:r>
              <w:rPr>
                <w:b/>
                <w:bCs/>
                <w:color w:val="144035"/>
                <w:sz w:val="18"/>
                <w:szCs w:val="18"/>
              </w:rPr>
              <w:t xml:space="preserve">Gate</w:t>
            </w:r>
          </w:p>
        </w:tc>
        <w:tc>
          <w:tcPr>
            <w:tcW w:type="dxa" w:w="4000"/>
            <w:shd w:fill="EAF1EE" w:val="clear"/>
            <w:tcMar>
              <w:top w:type="dxa" w:w="90"/>
              <w:left w:type="dxa" w:w="120"/>
              <w:bottom w:type="dxa" w:w="90"/>
              <w:right w:type="dxa" w:w="120"/>
            </w:tcMar>
          </w:tcPr>
          <w:p>
            <w:pPr>
              <w:spacing w:after="0" w:line="252"/>
            </w:pPr>
            <w:r>
              <w:rPr>
                <w:b/>
                <w:bCs/>
                <w:color w:val="144035"/>
                <w:sz w:val="18"/>
                <w:szCs w:val="18"/>
              </w:rPr>
              <w:t xml:space="preserve">What you check</w:t>
            </w:r>
          </w:p>
        </w:tc>
        <w:tc>
          <w:tcPr>
            <w:tcW w:type="dxa" w:w="3660"/>
            <w:shd w:fill="EAF1EE" w:val="clear"/>
            <w:tcMar>
              <w:top w:type="dxa" w:w="90"/>
              <w:left w:type="dxa" w:w="120"/>
              <w:bottom w:type="dxa" w:w="90"/>
              <w:right w:type="dxa" w:w="120"/>
            </w:tcMar>
          </w:tcPr>
          <w:p>
            <w:pPr>
              <w:spacing w:after="0" w:line="252"/>
            </w:pPr>
            <w:r>
              <w:rPr>
                <w:b/>
                <w:bCs/>
                <w:color w:val="144035"/>
                <w:sz w:val="18"/>
                <w:szCs w:val="18"/>
              </w:rPr>
              <w:t xml:space="preserve">Fail signal</w:t>
            </w:r>
          </w:p>
        </w:tc>
      </w:tr>
      <w:tr>
        <w:tc>
          <w:tcPr>
            <w:tcW w:type="dxa" w:w="1700"/>
            <w:shd w:fill="FFFFFF" w:val="clear"/>
            <w:tcMar>
              <w:top w:type="dxa" w:w="90"/>
              <w:left w:type="dxa" w:w="120"/>
              <w:bottom w:type="dxa" w:w="90"/>
              <w:right w:type="dxa" w:w="120"/>
            </w:tcMar>
          </w:tcPr>
          <w:p>
            <w:pPr>
              <w:spacing w:after="0" w:line="252"/>
            </w:pPr>
            <w:r>
              <w:rPr>
                <w:color w:val="1A1A1A"/>
                <w:sz w:val="18"/>
                <w:szCs w:val="18"/>
              </w:rPr>
              <w:t xml:space="preserve">Vintage</w:t>
            </w:r>
          </w:p>
        </w:tc>
        <w:tc>
          <w:tcPr>
            <w:tcW w:type="dxa" w:w="4000"/>
            <w:shd w:fill="FFFFFF" w:val="clear"/>
            <w:tcMar>
              <w:top w:type="dxa" w:w="90"/>
              <w:left w:type="dxa" w:w="120"/>
              <w:bottom w:type="dxa" w:w="90"/>
              <w:right w:type="dxa" w:w="120"/>
            </w:tcMar>
          </w:tcPr>
          <w:p>
            <w:pPr>
              <w:spacing w:after="0" w:line="252"/>
            </w:pPr>
            <w:r>
              <w:rPr>
                <w:color w:val="1A1A1A"/>
                <w:sz w:val="18"/>
                <w:szCs w:val="18"/>
              </w:rPr>
              <w:t xml:space="preserve">Every factor file carries a version and date, and the deliverable states them</w:t>
            </w:r>
          </w:p>
        </w:tc>
        <w:tc>
          <w:tcPr>
            <w:tcW w:type="dxa" w:w="3660"/>
            <w:shd w:fill="FFFFFF" w:val="clear"/>
            <w:tcMar>
              <w:top w:type="dxa" w:w="90"/>
              <w:left w:type="dxa" w:w="120"/>
              <w:bottom w:type="dxa" w:w="90"/>
              <w:right w:type="dxa" w:w="120"/>
            </w:tcMar>
          </w:tcPr>
          <w:p>
            <w:pPr>
              <w:spacing w:after="0" w:line="252"/>
            </w:pPr>
            <w:r>
              <w:rPr>
                <w:color w:val="1A1A1A"/>
                <w:sz w:val="18"/>
                <w:szCs w:val="18"/>
              </w:rPr>
              <w:t xml:space="preserve">A factor with no vintage anywhere in the pack</w:t>
            </w:r>
          </w:p>
        </w:tc>
      </w:tr>
      <w:tr>
        <w:tc>
          <w:tcPr>
            <w:tcW w:type="dxa" w:w="1700"/>
            <w:shd w:fill="F7FAF9" w:val="clear"/>
            <w:tcMar>
              <w:top w:type="dxa" w:w="90"/>
              <w:left w:type="dxa" w:w="120"/>
              <w:bottom w:type="dxa" w:w="90"/>
              <w:right w:type="dxa" w:w="120"/>
            </w:tcMar>
          </w:tcPr>
          <w:p>
            <w:pPr>
              <w:spacing w:after="0" w:line="252"/>
            </w:pPr>
            <w:r>
              <w:rPr>
                <w:color w:val="1A1A1A"/>
                <w:sz w:val="18"/>
                <w:szCs w:val="18"/>
              </w:rPr>
              <w:t xml:space="preserve">Hand-check</w:t>
            </w:r>
          </w:p>
        </w:tc>
        <w:tc>
          <w:tcPr>
            <w:tcW w:type="dxa" w:w="4000"/>
            <w:shd w:fill="F7FAF9" w:val="clear"/>
            <w:tcMar>
              <w:top w:type="dxa" w:w="90"/>
              <w:left w:type="dxa" w:w="120"/>
              <w:bottom w:type="dxa" w:w="90"/>
              <w:right w:type="dxa" w:w="120"/>
            </w:tcMar>
          </w:tcPr>
          <w:p>
            <w:pPr>
              <w:spacing w:after="0" w:line="252"/>
            </w:pPr>
            <w:r>
              <w:rPr>
                <w:color w:val="1A1A1A"/>
                <w:sz w:val="18"/>
                <w:szCs w:val="18"/>
              </w:rPr>
              <w:t xml:space="preserve">Recompute one line per factor set on a calculator</w:t>
            </w:r>
          </w:p>
        </w:tc>
        <w:tc>
          <w:tcPr>
            <w:tcW w:type="dxa" w:w="3660"/>
            <w:shd w:fill="F7FAF9" w:val="clear"/>
            <w:tcMar>
              <w:top w:type="dxa" w:w="90"/>
              <w:left w:type="dxa" w:w="120"/>
              <w:bottom w:type="dxa" w:w="90"/>
              <w:right w:type="dxa" w:w="120"/>
            </w:tcMar>
          </w:tcPr>
          <w:p>
            <w:pPr>
              <w:spacing w:after="0" w:line="252"/>
            </w:pPr>
            <w:r>
              <w:rPr>
                <w:color w:val="1A1A1A"/>
                <w:sz w:val="18"/>
                <w:szCs w:val="18"/>
              </w:rPr>
              <w:t xml:space="preserve">Your number and the script disagree</w:t>
            </w:r>
          </w:p>
        </w:tc>
      </w:tr>
      <w:tr>
        <w:tc>
          <w:tcPr>
            <w:tcW w:type="dxa" w:w="1700"/>
            <w:shd w:fill="FFFFFF" w:val="clear"/>
            <w:tcMar>
              <w:top w:type="dxa" w:w="90"/>
              <w:left w:type="dxa" w:w="120"/>
              <w:bottom w:type="dxa" w:w="90"/>
              <w:right w:type="dxa" w:w="120"/>
            </w:tcMar>
          </w:tcPr>
          <w:p>
            <w:pPr>
              <w:spacing w:after="0" w:line="252"/>
            </w:pPr>
            <w:r>
              <w:rPr>
                <w:color w:val="1A1A1A"/>
                <w:sz w:val="18"/>
                <w:szCs w:val="18"/>
              </w:rPr>
              <w:t xml:space="preserve">Units</w:t>
            </w:r>
          </w:p>
        </w:tc>
        <w:tc>
          <w:tcPr>
            <w:tcW w:type="dxa" w:w="4000"/>
            <w:shd w:fill="FFFFFF" w:val="clear"/>
            <w:tcMar>
              <w:top w:type="dxa" w:w="90"/>
              <w:left w:type="dxa" w:w="120"/>
              <w:bottom w:type="dxa" w:w="90"/>
              <w:right w:type="dxa" w:w="120"/>
            </w:tcMar>
          </w:tcPr>
          <w:p>
            <w:pPr>
              <w:spacing w:after="0" w:line="252"/>
            </w:pPr>
            <w:r>
              <w:rPr>
                <w:color w:val="1A1A1A"/>
                <w:sz w:val="18"/>
                <w:szCs w:val="18"/>
              </w:rPr>
              <w:t xml:space="preserve">kWh against MWh, kg against tonnes, gallons against litres, short against metric tons</w:t>
            </w:r>
          </w:p>
        </w:tc>
        <w:tc>
          <w:tcPr>
            <w:tcW w:type="dxa" w:w="3660"/>
            <w:shd w:fill="FFFFFF" w:val="clear"/>
            <w:tcMar>
              <w:top w:type="dxa" w:w="90"/>
              <w:left w:type="dxa" w:w="120"/>
              <w:bottom w:type="dxa" w:w="90"/>
              <w:right w:type="dxa" w:w="120"/>
            </w:tcMar>
          </w:tcPr>
          <w:p>
            <w:pPr>
              <w:spacing w:after="0" w:line="252"/>
            </w:pPr>
            <w:r>
              <w:rPr>
                <w:color w:val="1A1A1A"/>
                <w:sz w:val="18"/>
                <w:szCs w:val="18"/>
              </w:rPr>
              <w:t xml:space="preserve">A total off by a factor of 1,000 or 1.102</w:t>
            </w:r>
          </w:p>
        </w:tc>
      </w:tr>
      <w:tr>
        <w:tc>
          <w:tcPr>
            <w:tcW w:type="dxa" w:w="1700"/>
            <w:shd w:fill="F7FAF9" w:val="clear"/>
            <w:tcMar>
              <w:top w:type="dxa" w:w="90"/>
              <w:left w:type="dxa" w:w="120"/>
              <w:bottom w:type="dxa" w:w="90"/>
              <w:right w:type="dxa" w:w="120"/>
            </w:tcMar>
          </w:tcPr>
          <w:p>
            <w:pPr>
              <w:spacing w:after="0" w:line="252"/>
            </w:pPr>
            <w:r>
              <w:rPr>
                <w:color w:val="1A1A1A"/>
                <w:sz w:val="18"/>
                <w:szCs w:val="18"/>
              </w:rPr>
              <w:t xml:space="preserve">Traceability</w:t>
            </w:r>
          </w:p>
        </w:tc>
        <w:tc>
          <w:tcPr>
            <w:tcW w:type="dxa" w:w="4000"/>
            <w:shd w:fill="F7FAF9" w:val="clear"/>
            <w:tcMar>
              <w:top w:type="dxa" w:w="90"/>
              <w:left w:type="dxa" w:w="120"/>
              <w:bottom w:type="dxa" w:w="90"/>
              <w:right w:type="dxa" w:w="120"/>
            </w:tcMar>
          </w:tcPr>
          <w:p>
            <w:pPr>
              <w:spacing w:after="0" w:line="252"/>
            </w:pPr>
            <w:r>
              <w:rPr>
                <w:color w:val="1A1A1A"/>
                <w:sz w:val="18"/>
                <w:szCs w:val="18"/>
              </w:rPr>
              <w:t xml:space="preserve">Pick three figures at random and trace each to a file and a row</w:t>
            </w:r>
          </w:p>
        </w:tc>
        <w:tc>
          <w:tcPr>
            <w:tcW w:type="dxa" w:w="3660"/>
            <w:shd w:fill="F7FAF9" w:val="clear"/>
            <w:tcMar>
              <w:top w:type="dxa" w:w="90"/>
              <w:left w:type="dxa" w:w="120"/>
              <w:bottom w:type="dxa" w:w="90"/>
              <w:right w:type="dxa" w:w="120"/>
            </w:tcMar>
          </w:tcPr>
          <w:p>
            <w:pPr>
              <w:spacing w:after="0" w:line="252"/>
            </w:pPr>
            <w:r>
              <w:rPr>
                <w:color w:val="1A1A1A"/>
                <w:sz w:val="18"/>
                <w:szCs w:val="18"/>
              </w:rPr>
              <w:t xml:space="preserve">You cannot find the row</w:t>
            </w:r>
          </w:p>
        </w:tc>
      </w:tr>
      <w:tr>
        <w:tc>
          <w:tcPr>
            <w:tcW w:type="dxa" w:w="1700"/>
            <w:shd w:fill="FFFFFF" w:val="clear"/>
            <w:tcMar>
              <w:top w:type="dxa" w:w="90"/>
              <w:left w:type="dxa" w:w="120"/>
              <w:bottom w:type="dxa" w:w="90"/>
              <w:right w:type="dxa" w:w="120"/>
            </w:tcMar>
          </w:tcPr>
          <w:p>
            <w:pPr>
              <w:spacing w:after="0" w:line="252"/>
            </w:pPr>
            <w:r>
              <w:rPr>
                <w:color w:val="1A1A1A"/>
                <w:sz w:val="18"/>
                <w:szCs w:val="18"/>
              </w:rPr>
              <w:t xml:space="preserve">Tie-out</w:t>
            </w:r>
          </w:p>
        </w:tc>
        <w:tc>
          <w:tcPr>
            <w:tcW w:type="dxa" w:w="4000"/>
            <w:shd w:fill="FFFFFF" w:val="clear"/>
            <w:tcMar>
              <w:top w:type="dxa" w:w="90"/>
              <w:left w:type="dxa" w:w="120"/>
              <w:bottom w:type="dxa" w:w="90"/>
              <w:right w:type="dxa" w:w="120"/>
            </w:tcMar>
          </w:tcPr>
          <w:p>
            <w:pPr>
              <w:spacing w:after="0" w:line="252"/>
            </w:pPr>
            <w:r>
              <w:rPr>
                <w:color w:val="1A1A1A"/>
                <w:sz w:val="18"/>
                <w:szCs w:val="18"/>
              </w:rPr>
              <w:t xml:space="preserve">Category totals sum to the reported total</w:t>
            </w:r>
          </w:p>
        </w:tc>
        <w:tc>
          <w:tcPr>
            <w:tcW w:type="dxa" w:w="3660"/>
            <w:shd w:fill="FFFFFF" w:val="clear"/>
            <w:tcMar>
              <w:top w:type="dxa" w:w="90"/>
              <w:left w:type="dxa" w:w="120"/>
              <w:bottom w:type="dxa" w:w="90"/>
              <w:right w:type="dxa" w:w="120"/>
            </w:tcMar>
          </w:tcPr>
          <w:p>
            <w:pPr>
              <w:spacing w:after="0" w:line="252"/>
            </w:pPr>
            <w:r>
              <w:rPr>
                <w:color w:val="1A1A1A"/>
                <w:sz w:val="18"/>
                <w:szCs w:val="18"/>
              </w:rPr>
              <w:t xml:space="preserve">Rounding hiding a dropped category</w:t>
            </w:r>
          </w:p>
        </w:tc>
      </w:tr>
      <w:tr>
        <w:tc>
          <w:tcPr>
            <w:tcW w:type="dxa" w:w="1700"/>
            <w:shd w:fill="F7FAF9" w:val="clear"/>
            <w:tcMar>
              <w:top w:type="dxa" w:w="90"/>
              <w:left w:type="dxa" w:w="120"/>
              <w:bottom w:type="dxa" w:w="90"/>
              <w:right w:type="dxa" w:w="120"/>
            </w:tcMar>
          </w:tcPr>
          <w:p>
            <w:pPr>
              <w:spacing w:after="0" w:line="252"/>
            </w:pPr>
            <w:r>
              <w:rPr>
                <w:color w:val="1A1A1A"/>
                <w:sz w:val="18"/>
                <w:szCs w:val="18"/>
              </w:rPr>
              <w:t xml:space="preserve">Assumptions</w:t>
            </w:r>
          </w:p>
        </w:tc>
        <w:tc>
          <w:tcPr>
            <w:tcW w:type="dxa" w:w="4000"/>
            <w:shd w:fill="F7FAF9" w:val="clear"/>
            <w:tcMar>
              <w:top w:type="dxa" w:w="90"/>
              <w:left w:type="dxa" w:w="120"/>
              <w:bottom w:type="dxa" w:w="90"/>
              <w:right w:type="dxa" w:w="120"/>
            </w:tcMar>
          </w:tcPr>
          <w:p>
            <w:pPr>
              <w:spacing w:after="0" w:line="252"/>
            </w:pPr>
            <w:r>
              <w:rPr>
                <w:color w:val="1A1A1A"/>
                <w:sz w:val="18"/>
                <w:szCs w:val="18"/>
              </w:rPr>
              <w:t xml:space="preserve">Every [ASSUMPTION] tag is resolved or disclosed</w:t>
            </w:r>
          </w:p>
        </w:tc>
        <w:tc>
          <w:tcPr>
            <w:tcW w:type="dxa" w:w="3660"/>
            <w:shd w:fill="F7FAF9" w:val="clear"/>
            <w:tcMar>
              <w:top w:type="dxa" w:w="90"/>
              <w:left w:type="dxa" w:w="120"/>
              <w:bottom w:type="dxa" w:w="90"/>
              <w:right w:type="dxa" w:w="120"/>
            </w:tcMar>
          </w:tcPr>
          <w:p>
            <w:pPr>
              <w:spacing w:after="0" w:line="252"/>
            </w:pPr>
            <w:r>
              <w:rPr>
                <w:color w:val="1A1A1A"/>
                <w:sz w:val="18"/>
                <w:szCs w:val="18"/>
              </w:rPr>
              <w:t xml:space="preserve">A tag that quietly vanished between drafts</w:t>
            </w:r>
          </w:p>
        </w:tc>
      </w:tr>
    </w:tbl>
    <w:p>
      <w:pPr>
        <w:pStyle w:val="Heading1"/>
        <w:pBdr>
          <w:bottom w:val="single" w:color="C9D6D1" w:sz="6" w:space="6"/>
        </w:pBdr>
        <w:spacing w:after="140" w:before="320"/>
      </w:pPr>
      <w:r>
        <w:rPr>
          <w:b/>
          <w:bCs/>
          <w:color w:val="1F5C4D"/>
          <w:sz w:val="28"/>
          <w:szCs w:val="28"/>
        </w:rPr>
        <w:t xml:space="preserve">6.  Final check before issue</w:t>
      </w:r>
    </w:p>
    <w:p>
      <w:pPr>
        <w:pStyle w:val="ListParagraph"/>
        <w:numPr>
          <w:ilvl w:val="0"/>
          <w:numId w:val="3"/>
        </w:numPr>
        <w:spacing w:after="70" w:line="276"/>
      </w:pPr>
      <w:r>
        <w:rPr>
          <w:color w:val="1A1A1A"/>
          <w:sz w:val="22"/>
          <w:szCs w:val="22"/>
        </w:rPr>
        <w:t xml:space="preserve">Factor vintages stated in the methodology note</w:t>
      </w:r>
    </w:p>
    <w:p>
      <w:pPr>
        <w:pStyle w:val="ListParagraph"/>
        <w:numPr>
          <w:ilvl w:val="0"/>
          <w:numId w:val="3"/>
        </w:numPr>
        <w:spacing w:after="70" w:line="276"/>
      </w:pPr>
      <w:r>
        <w:rPr>
          <w:color w:val="1A1A1A"/>
          <w:sz w:val="22"/>
          <w:szCs w:val="22"/>
        </w:rPr>
        <w:t xml:space="preserve">One line per factor set recomputed by hand and matched</w:t>
      </w:r>
    </w:p>
    <w:p>
      <w:pPr>
        <w:pStyle w:val="ListParagraph"/>
        <w:numPr>
          <w:ilvl w:val="0"/>
          <w:numId w:val="3"/>
        </w:numPr>
        <w:spacing w:after="70" w:line="276"/>
      </w:pPr>
      <w:r>
        <w:rPr>
          <w:color w:val="1A1A1A"/>
          <w:sz w:val="22"/>
          <w:szCs w:val="22"/>
        </w:rPr>
        <w:t xml:space="preserve">Units checked end to end</w:t>
      </w:r>
    </w:p>
    <w:p>
      <w:pPr>
        <w:pStyle w:val="ListParagraph"/>
        <w:numPr>
          <w:ilvl w:val="0"/>
          <w:numId w:val="3"/>
        </w:numPr>
        <w:spacing w:after="70" w:line="276"/>
      </w:pPr>
      <w:r>
        <w:rPr>
          <w:color w:val="1A1A1A"/>
          <w:sz w:val="22"/>
          <w:szCs w:val="22"/>
        </w:rPr>
        <w:t xml:space="preserve">Three figures traced at random back to source rows</w:t>
      </w:r>
    </w:p>
    <w:p>
      <w:pPr>
        <w:pStyle w:val="ListParagraph"/>
        <w:numPr>
          <w:ilvl w:val="0"/>
          <w:numId w:val="3"/>
        </w:numPr>
        <w:spacing w:after="70" w:line="276"/>
      </w:pPr>
      <w:r>
        <w:rPr>
          <w:color w:val="1A1A1A"/>
          <w:sz w:val="22"/>
          <w:szCs w:val="22"/>
        </w:rPr>
        <w:t xml:space="preserve">Variances above threshold explained</w:t>
      </w:r>
    </w:p>
    <w:p>
      <w:pPr>
        <w:pStyle w:val="ListParagraph"/>
        <w:numPr>
          <w:ilvl w:val="0"/>
          <w:numId w:val="3"/>
        </w:numPr>
        <w:spacing w:after="70" w:line="276"/>
      </w:pPr>
      <w:r>
        <w:rPr>
          <w:color w:val="1A1A1A"/>
          <w:sz w:val="22"/>
          <w:szCs w:val="22"/>
        </w:rPr>
        <w:t xml:space="preserve">Rebuilt or non-official data clearly labelled as such</w:t>
      </w:r>
    </w:p>
    <w:p>
      <w:pPr>
        <w:pStyle w:val="ListParagraph"/>
        <w:numPr>
          <w:ilvl w:val="0"/>
          <w:numId w:val="3"/>
        </w:numPr>
        <w:spacing w:after="70" w:line="276"/>
      </w:pPr>
      <w:r>
        <w:rPr>
          <w:color w:val="1A1A1A"/>
          <w:sz w:val="22"/>
          <w:szCs w:val="22"/>
        </w:rPr>
        <w:t xml:space="preserve">Regulatory status re-checked against Section 3 on the day of issue</w:t>
      </w:r>
    </w:p>
    <w:p>
      <w:pPr>
        <w:spacing w:after="120" w:before="140"/>
      </w:pPr>
      <w:r>
        <w:rPr>
          <w:i/>
          <w:iCs/>
          <w:color w:val="5A6B66"/>
          <w:sz w:val="21"/>
          <w:szCs w:val="21"/>
        </w:rPr>
        <w:t xml:space="preserve">The status items in Section 3 move. Re-check them at the start of each engagement rather than trusting this page.</w:t>
      </w:r>
    </w:p>
    <w:p>
      <w:pPr>
        <w:pStyle w:val="Heading1"/>
        <w:pBdr>
          <w:bottom w:val="single" w:color="C9D6D1" w:sz="6" w:space="6"/>
        </w:pBdr>
        <w:spacing w:after="140" w:before="320"/>
      </w:pPr>
      <w:r>
        <w:rPr>
          <w:b/>
          <w:bCs/>
          <w:color w:val="1F5C4D"/>
          <w:sz w:val="28"/>
          <w:szCs w:val="28"/>
        </w:rPr>
        <w:t xml:space="preserve">Sources checked</w:t>
      </w:r>
    </w:p>
    <w:p>
      <w:pPr>
        <w:spacing w:after="60" w:line="252"/>
        <w:ind w:left="240" w:hanging="240"/>
      </w:pPr>
      <w:r>
        <w:rPr>
          <w:color w:val="44544F"/>
          <w:sz w:val="18"/>
          <w:szCs w:val="18"/>
        </w:rPr>
        <w:t xml:space="preserve">GHG Protocol, Scope 2 Standard advances: ISB approves consultation on market- and location-based revisions — ghgprotocol.org</w:t>
      </w:r>
    </w:p>
    <w:p>
      <w:pPr>
        <w:spacing w:after="60" w:line="252"/>
        <w:ind w:left="240" w:hanging="240"/>
      </w:pPr>
      <w:r>
        <w:rPr>
          <w:color w:val="44544F"/>
          <w:sz w:val="18"/>
          <w:szCs w:val="18"/>
        </w:rPr>
        <w:t xml:space="preserve">EPA, Emissions &amp; Generation Resource Integrated Database (eGRID) and eGRID2023 technical guide — epa.gov/egrid</w:t>
      </w:r>
    </w:p>
    <w:p>
      <w:pPr>
        <w:spacing w:after="60" w:line="252"/>
        <w:ind w:left="240" w:hanging="240"/>
      </w:pPr>
      <w:r>
        <w:rPr>
          <w:color w:val="44544F"/>
          <w:sz w:val="18"/>
          <w:szCs w:val="18"/>
        </w:rPr>
        <w:t xml:space="preserve">EPA, Emission Factors for Greenhouse Gas Inventories, January 2025 — epa.gov/climateleadership</w:t>
      </w:r>
    </w:p>
    <w:p>
      <w:pPr>
        <w:spacing w:after="60" w:line="252"/>
        <w:ind w:left="240" w:hanging="240"/>
      </w:pPr>
      <w:r>
        <w:rPr>
          <w:color w:val="44544F"/>
          <w:sz w:val="18"/>
          <w:szCs w:val="18"/>
        </w:rPr>
        <w:t xml:space="preserve">SBTi, Introducing the Corporate Net-Zero Standard Version 2.0, published 11 June 2026 — sciencebasedtargets.org</w:t>
      </w:r>
    </w:p>
    <w:p>
      <w:pPr>
        <w:spacing w:after="60" w:line="252"/>
        <w:ind w:left="240" w:hanging="240"/>
      </w:pPr>
      <w:r>
        <w:rPr>
          <w:color w:val="44544F"/>
          <w:sz w:val="18"/>
          <w:szCs w:val="18"/>
        </w:rPr>
        <w:t xml:space="preserve">Sidley, SB 253 update: CARB delays reporting deadline to November 2026, 30 June 2026 — sidley.com</w:t>
      </w:r>
    </w:p>
    <w:p>
      <w:pPr>
        <w:spacing w:after="60" w:line="252"/>
        <w:ind w:left="240" w:hanging="240"/>
      </w:pPr>
      <w:r>
        <w:rPr>
          <w:color w:val="44544F"/>
          <w:sz w:val="18"/>
          <w:szCs w:val="18"/>
        </w:rPr>
        <w:t xml:space="preserve">Greenberg Traurig, CARB adopts initial climate disclosure reporting regulations, March 2026 — gtlaw.com</w:t>
      </w:r>
    </w:p>
    <w:p>
      <w:pPr>
        <w:spacing w:after="60" w:line="252"/>
        <w:ind w:left="240" w:hanging="240"/>
      </w:pPr>
      <w:r>
        <w:rPr>
          <w:color w:val="44544F"/>
          <w:sz w:val="18"/>
          <w:szCs w:val="18"/>
        </w:rPr>
        <w:t xml:space="preserve">PwC Viewpoint, Omnibus directive finalised; Directive (EU) 2026/470 — viewpoint.pwc.com</w:t>
      </w:r>
    </w:p>
    <w:p>
      <w:pPr>
        <w:spacing w:after="60" w:line="252"/>
        <w:ind w:left="240" w:hanging="240"/>
      </w:pPr>
      <w:r>
        <w:rPr>
          <w:color w:val="44544F"/>
          <w:sz w:val="18"/>
          <w:szCs w:val="18"/>
        </w:rPr>
        <w:t xml:space="preserve">SEC, Proposed rescission of climate-related disclosure rules, 29 May 2026 — sec.gov</w:t>
      </w:r>
    </w:p>
    <w:p>
      <w:pPr>
        <w:spacing w:after="60" w:line="252"/>
        <w:ind w:left="240" w:hanging="240"/>
      </w:pPr>
      <w:r>
        <w:rPr>
          <w:color w:val="44544F"/>
          <w:sz w:val="18"/>
          <w:szCs w:val="18"/>
        </w:rPr>
        <w:t xml:space="preserve">Cornerstone Data, Making eGRID 2024 data easily accessible — cornerstonedata.org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80" w:hanging="3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Code for Climate Work - Operating Guide</dc:title>
  <dc:creator>FIKA Labs</dc:creator>
  <dc:description>How to produce current, accurate climate deliverables with Claude Code</dc:description>
  <cp:lastModifiedBy>Un-named</cp:lastModifiedBy>
  <cp:revision>1</cp:revision>
  <dcterms:created xsi:type="dcterms:W3CDTF">2026-09-18T21:31:23.346Z</dcterms:created>
  <dcterms:modified xsi:type="dcterms:W3CDTF">2026-09-18T21:31:23.347Z</dcterms:modified>
</cp:coreProperties>
</file>

<file path=docProps/custom.xml><?xml version="1.0" encoding="utf-8"?>
<Properties xmlns="http://schemas.openxmlformats.org/officeDocument/2006/custom-properties" xmlns:vt="http://schemas.openxmlformats.org/officeDocument/2006/docPropsVTypes"/>
</file>