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5C4D"/>
          <w:spacing w:val="40"/>
          <w:sz w:val="20"/>
          <w:szCs w:val="20"/>
        </w:rPr>
        <w:t xml:space="preserve">SELECTION BRIEF</w:t>
      </w:r>
    </w:p>
    <w:p>
      <w:pPr>
        <w:spacing w:after="80"/>
      </w:pPr>
      <w:r>
        <w:rPr>
          <w:b/>
          <w:bCs/>
          <w:color w:val="1A1A1A"/>
          <w:sz w:val="36"/>
          <w:szCs w:val="36"/>
        </w:rPr>
        <w:t xml:space="preserve">Choosing an AI engine for sustainability and climate risk</w:t>
      </w:r>
    </w:p>
    <w:p>
      <w:pPr>
        <w:pBdr>
          <w:bottom w:val="single" w:color="1F5C4D" w:sz="12" w:space="8"/>
        </w:pBdr>
        <w:spacing w:after="300"/>
      </w:pPr>
      <w:r>
        <w:rPr>
          <w:color w:val="5A6B66"/>
          <w:sz w:val="19"/>
          <w:szCs w:val="19"/>
        </w:rPr>
        <w:t xml:space="preserve">Prepared 18 September 2026  ·  Prices and vendor status verified on that date</w:t>
      </w:r>
    </w:p>
    <w:p>
      <w:pPr>
        <w:pStyle w:val="Heading1"/>
        <w:pBdr>
          <w:bottom w:val="single" w:color="C9D6D1" w:sz="6" w:space="6"/>
        </w:pBdr>
        <w:spacing w:after="140" w:before="320"/>
      </w:pPr>
      <w:r>
        <w:rPr>
          <w:b/>
          <w:bCs/>
          <w:color w:val="1F5C4D"/>
          <w:sz w:val="28"/>
          <w:szCs w:val="28"/>
        </w:rPr>
        <w:t xml:space="preserve">1.  Recommendation at a glance</w:t>
      </w:r>
    </w:p>
    <w:p>
      <w:pPr>
        <w:spacing w:after="120" w:line="276"/>
      </w:pPr>
      <w:r>
        <w:rPr>
          <w:color w:val="1A1A1A"/>
          <w:sz w:val="22"/>
          <w:szCs w:val="22"/>
        </w:rPr>
        <w:t xml:space="preserve">There is no single engine that does climate risk assessment. The decision splits into three layers, and most buyers get the first one right and the third one wrong.</w:t>
      </w:r>
    </w:p>
    <w:tbl>
      <w:tblPr>
        <w:tblW w:type="dxa" w:w="9360"/>
        <w:tblBorders>
          <w:top w:val="single" w:color="C9D6D1" w:sz="4"/>
          <w:left w:val="single" w:color="C9D6D1" w:sz="4"/>
          <w:bottom w:val="single" w:color="C9D6D1" w:sz="4"/>
          <w:right w:val="single" w:color="C9D6D1" w:sz="4"/>
          <w:insideH w:val="single" w:color="C9D6D1" w:sz="4"/>
          <w:insideV w:val="single" w:color="C9D6D1" w:sz="4"/>
        </w:tblBorders>
      </w:tblPr>
      <w:tblGrid>
        <w:gridCol w:w="2050"/>
        <w:gridCol w:w="2750"/>
        <w:gridCol w:w="4560"/>
      </w:tblGrid>
      <w:tr>
        <w:trPr>
          <w:tblHeader/>
        </w:trPr>
        <w:tc>
          <w:tcPr>
            <w:tcW w:type="dxa" w:w="2050"/>
            <w:shd w:fill="EAF1EE" w:val="clear"/>
            <w:tcMar>
              <w:top w:type="dxa" w:w="90"/>
              <w:left w:type="dxa" w:w="120"/>
              <w:bottom w:type="dxa" w:w="90"/>
              <w:right w:type="dxa" w:w="120"/>
            </w:tcMar>
          </w:tcPr>
          <w:p>
            <w:pPr>
              <w:spacing w:after="0" w:line="252"/>
            </w:pPr>
            <w:r>
              <w:rPr>
                <w:b/>
                <w:bCs/>
                <w:color w:val="144035"/>
                <w:sz w:val="18"/>
                <w:szCs w:val="18"/>
              </w:rPr>
              <w:t xml:space="preserve">Layer</w:t>
            </w:r>
          </w:p>
        </w:tc>
        <w:tc>
          <w:tcPr>
            <w:tcW w:type="dxa" w:w="2750"/>
            <w:shd w:fill="EAF1EE" w:val="clear"/>
            <w:tcMar>
              <w:top w:type="dxa" w:w="90"/>
              <w:left w:type="dxa" w:w="120"/>
              <w:bottom w:type="dxa" w:w="90"/>
              <w:right w:type="dxa" w:w="120"/>
            </w:tcMar>
          </w:tcPr>
          <w:p>
            <w:pPr>
              <w:spacing w:after="0" w:line="252"/>
            </w:pPr>
            <w:r>
              <w:rPr>
                <w:b/>
                <w:bCs/>
                <w:color w:val="144035"/>
                <w:sz w:val="18"/>
                <w:szCs w:val="18"/>
              </w:rPr>
              <w:t xml:space="preserve">Recommendation</w:t>
            </w:r>
          </w:p>
        </w:tc>
        <w:tc>
          <w:tcPr>
            <w:tcW w:type="dxa" w:w="4560"/>
            <w:shd w:fill="EAF1EE" w:val="clear"/>
            <w:tcMar>
              <w:top w:type="dxa" w:w="90"/>
              <w:left w:type="dxa" w:w="120"/>
              <w:bottom w:type="dxa" w:w="90"/>
              <w:right w:type="dxa" w:w="120"/>
            </w:tcMar>
          </w:tcPr>
          <w:p>
            <w:pPr>
              <w:spacing w:after="0" w:line="252"/>
            </w:pPr>
            <w:r>
              <w:rPr>
                <w:b/>
                <w:bCs/>
                <w:color w:val="144035"/>
                <w:sz w:val="18"/>
                <w:szCs w:val="18"/>
              </w:rPr>
              <w:t xml:space="preserve">Why</w:t>
            </w:r>
          </w:p>
        </w:tc>
      </w:tr>
      <w:tr>
        <w:tc>
          <w:tcPr>
            <w:tcW w:type="dxa" w:w="2050"/>
            <w:shd w:fill="FFFFFF" w:val="clear"/>
            <w:tcMar>
              <w:top w:type="dxa" w:w="90"/>
              <w:left w:type="dxa" w:w="120"/>
              <w:bottom w:type="dxa" w:w="90"/>
              <w:right w:type="dxa" w:w="120"/>
            </w:tcMar>
          </w:tcPr>
          <w:p>
            <w:pPr>
              <w:spacing w:after="0" w:line="252"/>
            </w:pPr>
            <w:r>
              <w:rPr>
                <w:color w:val="1A1A1A"/>
                <w:sz w:val="18"/>
                <w:szCs w:val="18"/>
              </w:rPr>
              <w:t xml:space="preserve">Reasoning engine</w:t>
            </w:r>
          </w:p>
        </w:tc>
        <w:tc>
          <w:tcPr>
            <w:tcW w:type="dxa" w:w="2750"/>
            <w:shd w:fill="FFFFFF" w:val="clear"/>
            <w:tcMar>
              <w:top w:type="dxa" w:w="90"/>
              <w:left w:type="dxa" w:w="120"/>
              <w:bottom w:type="dxa" w:w="90"/>
              <w:right w:type="dxa" w:w="120"/>
            </w:tcMar>
          </w:tcPr>
          <w:p>
            <w:pPr>
              <w:spacing w:after="0" w:line="252"/>
            </w:pPr>
            <w:r>
              <w:rPr>
                <w:color w:val="1A1A1A"/>
                <w:sz w:val="18"/>
                <w:szCs w:val="18"/>
              </w:rPr>
              <w:t xml:space="preserve">Claude Opus 5</w:t>
            </w:r>
          </w:p>
        </w:tc>
        <w:tc>
          <w:tcPr>
            <w:tcW w:type="dxa" w:w="4560"/>
            <w:shd w:fill="FFFFFF" w:val="clear"/>
            <w:tcMar>
              <w:top w:type="dxa" w:w="90"/>
              <w:left w:type="dxa" w:w="120"/>
              <w:bottom w:type="dxa" w:w="90"/>
              <w:right w:type="dxa" w:w="120"/>
            </w:tcMar>
          </w:tcPr>
          <w:p>
            <w:pPr>
              <w:spacing w:after="0" w:line="252"/>
            </w:pPr>
            <w:r>
              <w:rPr>
                <w:color w:val="1A1A1A"/>
                <w:sz w:val="18"/>
                <w:szCs w:val="18"/>
              </w:rPr>
              <w:t xml:space="preserve">1M-token context, page-anchored citations, strong tool use. List price $5 / $25 per million tokens.</w:t>
            </w:r>
          </w:p>
        </w:tc>
      </w:tr>
      <w:tr>
        <w:tc>
          <w:tcPr>
            <w:tcW w:type="dxa" w:w="2050"/>
            <w:shd w:fill="F7FAF9" w:val="clear"/>
            <w:tcMar>
              <w:top w:type="dxa" w:w="90"/>
              <w:left w:type="dxa" w:w="120"/>
              <w:bottom w:type="dxa" w:w="90"/>
              <w:right w:type="dxa" w:w="120"/>
            </w:tcMar>
          </w:tcPr>
          <w:p>
            <w:pPr>
              <w:spacing w:after="0" w:line="252"/>
            </w:pPr>
            <w:r>
              <w:rPr>
                <w:color w:val="1A1A1A"/>
                <w:sz w:val="18"/>
                <w:szCs w:val="18"/>
              </w:rPr>
              <w:t xml:space="preserve">Bulk extraction</w:t>
            </w:r>
          </w:p>
        </w:tc>
        <w:tc>
          <w:tcPr>
            <w:tcW w:type="dxa" w:w="2750"/>
            <w:shd w:fill="F7FAF9" w:val="clear"/>
            <w:tcMar>
              <w:top w:type="dxa" w:w="90"/>
              <w:left w:type="dxa" w:w="120"/>
              <w:bottom w:type="dxa" w:w="90"/>
              <w:right w:type="dxa" w:w="120"/>
            </w:tcMar>
          </w:tcPr>
          <w:p>
            <w:pPr>
              <w:spacing w:after="0" w:line="252"/>
            </w:pPr>
            <w:r>
              <w:rPr>
                <w:color w:val="1A1A1A"/>
                <w:sz w:val="18"/>
                <w:szCs w:val="18"/>
              </w:rPr>
              <w:t xml:space="preserve">Claude Haiku 4.5</w:t>
            </w:r>
          </w:p>
        </w:tc>
        <w:tc>
          <w:tcPr>
            <w:tcW w:type="dxa" w:w="4560"/>
            <w:shd w:fill="F7FAF9" w:val="clear"/>
            <w:tcMar>
              <w:top w:type="dxa" w:w="90"/>
              <w:left w:type="dxa" w:w="120"/>
              <w:bottom w:type="dxa" w:w="90"/>
              <w:right w:type="dxa" w:w="120"/>
            </w:tcMar>
          </w:tcPr>
          <w:p>
            <w:pPr>
              <w:spacing w:after="0" w:line="252"/>
            </w:pPr>
            <w:r>
              <w:rPr>
                <w:color w:val="1A1A1A"/>
                <w:sz w:val="18"/>
                <w:szCs w:val="18"/>
              </w:rPr>
              <w:t xml:space="preserve">$1 / $5 per million tokens. Use it for parsing invoices, meter reads and supplier files at volume.</w:t>
            </w:r>
          </w:p>
        </w:tc>
      </w:tr>
      <w:tr>
        <w:tc>
          <w:tcPr>
            <w:tcW w:type="dxa" w:w="2050"/>
            <w:shd w:fill="FFFFFF" w:val="clear"/>
            <w:tcMar>
              <w:top w:type="dxa" w:w="90"/>
              <w:left w:type="dxa" w:w="120"/>
              <w:bottom w:type="dxa" w:w="90"/>
              <w:right w:type="dxa" w:w="120"/>
            </w:tcMar>
          </w:tcPr>
          <w:p>
            <w:pPr>
              <w:spacing w:after="0" w:line="252"/>
            </w:pPr>
            <w:r>
              <w:rPr>
                <w:color w:val="1A1A1A"/>
                <w:sz w:val="18"/>
                <w:szCs w:val="18"/>
              </w:rPr>
              <w:t xml:space="preserve">Harness, bespoke work</w:t>
            </w:r>
          </w:p>
        </w:tc>
        <w:tc>
          <w:tcPr>
            <w:tcW w:type="dxa" w:w="2750"/>
            <w:shd w:fill="FFFFFF" w:val="clear"/>
            <w:tcMar>
              <w:top w:type="dxa" w:w="90"/>
              <w:left w:type="dxa" w:w="120"/>
              <w:bottom w:type="dxa" w:w="90"/>
              <w:right w:type="dxa" w:w="120"/>
            </w:tcMar>
          </w:tcPr>
          <w:p>
            <w:pPr>
              <w:spacing w:after="0" w:line="252"/>
            </w:pPr>
            <w:r>
              <w:rPr>
                <w:color w:val="1A1A1A"/>
                <w:sz w:val="18"/>
                <w:szCs w:val="18"/>
              </w:rPr>
              <w:t xml:space="preserve">Claude Code</w:t>
            </w:r>
          </w:p>
        </w:tc>
        <w:tc>
          <w:tcPr>
            <w:tcW w:type="dxa" w:w="4560"/>
            <w:shd w:fill="FFFFFF" w:val="clear"/>
            <w:tcMar>
              <w:top w:type="dxa" w:w="90"/>
              <w:left w:type="dxa" w:w="120"/>
              <w:bottom w:type="dxa" w:w="90"/>
              <w:right w:type="dxa" w:w="120"/>
            </w:tcMar>
          </w:tcPr>
          <w:p>
            <w:pPr>
              <w:spacing w:after="0" w:line="252"/>
            </w:pPr>
            <w:r>
              <w:rPr>
                <w:color w:val="1A1A1A"/>
                <w:sz w:val="18"/>
                <w:szCs w:val="18"/>
              </w:rPr>
              <w:t xml:space="preserve">Client-by-client consulting deliverables where a human drives each step.</w:t>
            </w:r>
          </w:p>
        </w:tc>
      </w:tr>
      <w:tr>
        <w:tc>
          <w:tcPr>
            <w:tcW w:type="dxa" w:w="2050"/>
            <w:shd w:fill="F7FAF9" w:val="clear"/>
            <w:tcMar>
              <w:top w:type="dxa" w:w="90"/>
              <w:left w:type="dxa" w:w="120"/>
              <w:bottom w:type="dxa" w:w="90"/>
              <w:right w:type="dxa" w:w="120"/>
            </w:tcMar>
          </w:tcPr>
          <w:p>
            <w:pPr>
              <w:spacing w:after="0" w:line="252"/>
            </w:pPr>
            <w:r>
              <w:rPr>
                <w:color w:val="1A1A1A"/>
                <w:sz w:val="18"/>
                <w:szCs w:val="18"/>
              </w:rPr>
              <w:t xml:space="preserve">Harness, repeatable work</w:t>
            </w:r>
          </w:p>
        </w:tc>
        <w:tc>
          <w:tcPr>
            <w:tcW w:type="dxa" w:w="2750"/>
            <w:shd w:fill="F7FAF9" w:val="clear"/>
            <w:tcMar>
              <w:top w:type="dxa" w:w="90"/>
              <w:left w:type="dxa" w:w="120"/>
              <w:bottom w:type="dxa" w:w="90"/>
              <w:right w:type="dxa" w:w="120"/>
            </w:tcMar>
          </w:tcPr>
          <w:p>
            <w:pPr>
              <w:spacing w:after="0" w:line="252"/>
            </w:pPr>
            <w:r>
              <w:rPr>
                <w:color w:val="1A1A1A"/>
                <w:sz w:val="18"/>
                <w:szCs w:val="18"/>
              </w:rPr>
              <w:t xml:space="preserve">Managed Agents</w:t>
            </w:r>
          </w:p>
        </w:tc>
        <w:tc>
          <w:tcPr>
            <w:tcW w:type="dxa" w:w="4560"/>
            <w:shd w:fill="F7FAF9" w:val="clear"/>
            <w:tcMar>
              <w:top w:type="dxa" w:w="90"/>
              <w:left w:type="dxa" w:w="120"/>
              <w:bottom w:type="dxa" w:w="90"/>
              <w:right w:type="dxa" w:w="120"/>
            </w:tcMar>
          </w:tcPr>
          <w:p>
            <w:pPr>
              <w:spacing w:after="0" w:line="252"/>
            </w:pPr>
            <w:r>
              <w:rPr>
                <w:color w:val="1A1A1A"/>
                <w:sz w:val="18"/>
                <w:szCs w:val="18"/>
              </w:rPr>
              <w:t xml:space="preserve">Hosted agent loop, versioned configs and scheduled runs for recurring assessments.</w:t>
            </w:r>
          </w:p>
        </w:tc>
      </w:tr>
      <w:tr>
        <w:tc>
          <w:tcPr>
            <w:tcW w:type="dxa" w:w="2050"/>
            <w:shd w:fill="FFFFFF" w:val="clear"/>
            <w:tcMar>
              <w:top w:type="dxa" w:w="90"/>
              <w:left w:type="dxa" w:w="120"/>
              <w:bottom w:type="dxa" w:w="90"/>
              <w:right w:type="dxa" w:w="120"/>
            </w:tcMar>
          </w:tcPr>
          <w:p>
            <w:pPr>
              <w:spacing w:after="0" w:line="252"/>
            </w:pPr>
            <w:r>
              <w:rPr>
                <w:color w:val="1A1A1A"/>
                <w:sz w:val="18"/>
                <w:szCs w:val="18"/>
              </w:rPr>
              <w:t xml:space="preserve">Physical hazard data</w:t>
            </w:r>
          </w:p>
        </w:tc>
        <w:tc>
          <w:tcPr>
            <w:tcW w:type="dxa" w:w="2750"/>
            <w:shd w:fill="FFFFFF" w:val="clear"/>
            <w:tcMar>
              <w:top w:type="dxa" w:w="90"/>
              <w:left w:type="dxa" w:w="120"/>
              <w:bottom w:type="dxa" w:w="90"/>
              <w:right w:type="dxa" w:w="120"/>
            </w:tcMar>
          </w:tcPr>
          <w:p>
            <w:pPr>
              <w:spacing w:after="0" w:line="252"/>
            </w:pPr>
            <w:r>
              <w:rPr>
                <w:color w:val="1A1A1A"/>
                <w:sz w:val="18"/>
                <w:szCs w:val="18"/>
              </w:rPr>
              <w:t xml:space="preserve">Two vendors, never one</w:t>
            </w:r>
          </w:p>
        </w:tc>
        <w:tc>
          <w:tcPr>
            <w:tcW w:type="dxa" w:w="4560"/>
            <w:shd w:fill="FFFFFF" w:val="clear"/>
            <w:tcMar>
              <w:top w:type="dxa" w:w="90"/>
              <w:left w:type="dxa" w:w="120"/>
              <w:bottom w:type="dxa" w:w="90"/>
              <w:right w:type="dxa" w:w="120"/>
            </w:tcMar>
          </w:tcPr>
          <w:p>
            <w:pPr>
              <w:spacing w:after="0" w:line="252"/>
            </w:pPr>
            <w:r>
              <w:rPr>
                <w:color w:val="1A1A1A"/>
                <w:sz w:val="18"/>
                <w:szCs w:val="18"/>
              </w:rPr>
              <w:t xml:space="preserve">Vendor outputs diverge sharply for the same asset. See Section 4.</w:t>
            </w:r>
          </w:p>
        </w:tc>
      </w:tr>
      <w:tr>
        <w:tc>
          <w:tcPr>
            <w:tcW w:type="dxa" w:w="2050"/>
            <w:shd w:fill="F7FAF9" w:val="clear"/>
            <w:tcMar>
              <w:top w:type="dxa" w:w="90"/>
              <w:left w:type="dxa" w:w="120"/>
              <w:bottom w:type="dxa" w:w="90"/>
              <w:right w:type="dxa" w:w="120"/>
            </w:tcMar>
          </w:tcPr>
          <w:p>
            <w:pPr>
              <w:spacing w:after="0" w:line="252"/>
            </w:pPr>
            <w:r>
              <w:rPr>
                <w:color w:val="1A1A1A"/>
                <w:sz w:val="18"/>
                <w:szCs w:val="18"/>
              </w:rPr>
              <w:t xml:space="preserve">Carbon accounting</w:t>
            </w:r>
          </w:p>
        </w:tc>
        <w:tc>
          <w:tcPr>
            <w:tcW w:type="dxa" w:w="2750"/>
            <w:shd w:fill="F7FAF9" w:val="clear"/>
            <w:tcMar>
              <w:top w:type="dxa" w:w="90"/>
              <w:left w:type="dxa" w:w="120"/>
              <w:bottom w:type="dxa" w:w="90"/>
              <w:right w:type="dxa" w:w="120"/>
            </w:tcMar>
          </w:tcPr>
          <w:p>
            <w:pPr>
              <w:spacing w:after="0" w:line="252"/>
            </w:pPr>
            <w:r>
              <w:rPr>
                <w:color w:val="1A1A1A"/>
                <w:sz w:val="18"/>
                <w:szCs w:val="18"/>
              </w:rPr>
              <w:t xml:space="preserve">Watershed, Persefoni or Sweep</w:t>
            </w:r>
          </w:p>
        </w:tc>
        <w:tc>
          <w:tcPr>
            <w:tcW w:type="dxa" w:w="4560"/>
            <w:shd w:fill="F7FAF9" w:val="clear"/>
            <w:tcMar>
              <w:top w:type="dxa" w:w="90"/>
              <w:left w:type="dxa" w:w="120"/>
              <w:bottom w:type="dxa" w:w="90"/>
              <w:right w:type="dxa" w:w="120"/>
            </w:tcMar>
          </w:tcPr>
          <w:p>
            <w:pPr>
              <w:spacing w:after="0" w:line="252"/>
            </w:pPr>
            <w:r>
              <w:rPr>
                <w:color w:val="1A1A1A"/>
                <w:sz w:val="18"/>
                <w:szCs w:val="18"/>
              </w:rPr>
              <w:t xml:space="preserve">Pick on organisational shape, not feature lists. See Section 5.</w:t>
            </w:r>
          </w:p>
        </w:tc>
      </w:tr>
    </w:tbl>
    <w:p>
      <w:pPr>
        <w:pBdr>
          <w:left w:val="single" w:color="1F5C4D" w:sz="18" w:space="10"/>
        </w:pBdr>
        <w:shd w:fill="EAF1EE" w:val="clear"/>
        <w:spacing w:after="140" w:before="140" w:line="276"/>
        <w:ind w:left="200" w:right="200"/>
      </w:pPr>
      <w:r>
        <w:rPr>
          <w:color w:val="174036"/>
          <w:sz w:val="21"/>
          <w:szCs w:val="21"/>
        </w:rPr>
        <w:t xml:space="preserve">Short version: spend your evaluation effort on the data layer. The engine is the easy half of this decision, and the expensive mistakes live downstream of it.</w:t>
      </w:r>
    </w:p>
    <w:p>
      <w:pPr>
        <w:pStyle w:val="Heading1"/>
        <w:pBdr>
          <w:bottom w:val="single" w:color="C9D6D1" w:sz="6" w:space="6"/>
        </w:pBdr>
        <w:spacing w:after="140" w:before="320"/>
      </w:pPr>
      <w:r>
        <w:rPr>
          <w:b/>
          <w:bCs/>
          <w:color w:val="1F5C4D"/>
          <w:sz w:val="28"/>
          <w:szCs w:val="28"/>
        </w:rPr>
        <w:t xml:space="preserve">2.  Why the engine is the easy half</w:t>
      </w:r>
    </w:p>
    <w:p>
      <w:pPr>
        <w:spacing w:after="120" w:line="276"/>
      </w:pPr>
      <w:r>
        <w:rPr>
          <w:color w:val="1A1A1A"/>
          <w:sz w:val="22"/>
          <w:szCs w:val="22"/>
        </w:rPr>
        <w:t xml:space="preserve">A language model reasons. It does not measure. No engine knows the flood depth at a given address, the grid factor for a given subregion, or what your Tier 2 supplier burned last year. It reads what you give it and reasons over that.</w:t>
      </w:r>
    </w:p>
    <w:p>
      <w:pPr>
        <w:spacing w:after="120" w:line="276"/>
      </w:pPr>
      <w:r>
        <w:rPr>
          <w:color w:val="1A1A1A"/>
          <w:sz w:val="22"/>
          <w:szCs w:val="22"/>
        </w:rPr>
        <w:t xml:space="preserve">So the engine question reduces to a short list of properties that actually matter for this work:</w:t>
      </w:r>
    </w:p>
    <w:p>
      <w:pPr>
        <w:pStyle w:val="ListParagraph"/>
        <w:numPr>
          <w:ilvl w:val="0"/>
          <w:numId w:val="2"/>
        </w:numPr>
        <w:spacing w:after="80" w:line="276"/>
      </w:pPr>
      <w:r>
        <w:rPr>
          <w:b/>
          <w:bCs/>
          <w:color w:val="1A1A1A"/>
          <w:sz w:val="22"/>
          <w:szCs w:val="22"/>
        </w:rPr>
        <w:t xml:space="preserve">Context window.  </w:t>
      </w:r>
      <w:r>
        <w:rPr>
          <w:color w:val="1A1A1A"/>
          <w:sz w:val="22"/>
          <w:szCs w:val="22"/>
        </w:rPr>
        <w:t xml:space="preserve">Climate work is document-heavy. A CSRD filing, a year of utility data and a hazard report should fit in one pass rather than being chunked and stitched.</w:t>
      </w:r>
    </w:p>
    <w:p>
      <w:pPr>
        <w:pStyle w:val="ListParagraph"/>
        <w:numPr>
          <w:ilvl w:val="0"/>
          <w:numId w:val="2"/>
        </w:numPr>
        <w:spacing w:after="80" w:line="276"/>
      </w:pPr>
      <w:r>
        <w:rPr>
          <w:b/>
          <w:bCs/>
          <w:color w:val="1A1A1A"/>
          <w:sz w:val="22"/>
          <w:szCs w:val="22"/>
        </w:rPr>
        <w:t xml:space="preserve">Citation anchoring.  </w:t>
      </w:r>
      <w:r>
        <w:rPr>
          <w:color w:val="1A1A1A"/>
          <w:sz w:val="22"/>
          <w:szCs w:val="22"/>
        </w:rPr>
        <w:t xml:space="preserve">The engine must point at the page it drew a claim from, not paraphrase from memory.</w:t>
      </w:r>
    </w:p>
    <w:p>
      <w:pPr>
        <w:pStyle w:val="ListParagraph"/>
        <w:numPr>
          <w:ilvl w:val="0"/>
          <w:numId w:val="2"/>
        </w:numPr>
        <w:spacing w:after="80" w:line="276"/>
      </w:pPr>
      <w:r>
        <w:rPr>
          <w:b/>
          <w:bCs/>
          <w:color w:val="1A1A1A"/>
          <w:sz w:val="22"/>
          <w:szCs w:val="22"/>
        </w:rPr>
        <w:t xml:space="preserve">Tool use.  </w:t>
      </w:r>
      <w:r>
        <w:rPr>
          <w:color w:val="1A1A1A"/>
          <w:sz w:val="22"/>
          <w:szCs w:val="22"/>
        </w:rPr>
        <w:t xml:space="preserve">It has to call your scripts and datasets reliably, because that is where the real numbers live.</w:t>
      </w:r>
    </w:p>
    <w:p>
      <w:pPr>
        <w:pStyle w:val="ListParagraph"/>
        <w:numPr>
          <w:ilvl w:val="0"/>
          <w:numId w:val="2"/>
        </w:numPr>
        <w:spacing w:after="80" w:line="276"/>
      </w:pPr>
      <w:r>
        <w:rPr>
          <w:b/>
          <w:bCs/>
          <w:color w:val="1A1A1A"/>
          <w:sz w:val="22"/>
          <w:szCs w:val="22"/>
        </w:rPr>
        <w:t xml:space="preserve">Cost per document.  </w:t>
      </w:r>
      <w:r>
        <w:rPr>
          <w:color w:val="1A1A1A"/>
          <w:sz w:val="22"/>
          <w:szCs w:val="22"/>
        </w:rPr>
        <w:t xml:space="preserve">Scope 3 supplier screening means thousands of documents, so the per-token rate decides whether the workflow is viable.</w:t>
      </w:r>
    </w:p>
    <w:p>
      <w:pPr>
        <w:pStyle w:val="Heading1"/>
        <w:pBdr>
          <w:bottom w:val="single" w:color="C9D6D1" w:sz="6" w:space="6"/>
        </w:pBdr>
        <w:spacing w:after="140" w:before="320"/>
      </w:pPr>
      <w:r>
        <w:rPr>
          <w:b/>
          <w:bCs/>
          <w:color w:val="1F5C4D"/>
          <w:sz w:val="28"/>
          <w:szCs w:val="28"/>
        </w:rPr>
        <w:t xml:space="preserve">3.  The reasoning layer</w:t>
      </w:r>
    </w:p>
    <w:p>
      <w:pPr>
        <w:spacing w:after="120" w:line="276"/>
      </w:pPr>
      <w:r>
        <w:rPr>
          <w:color w:val="1A1A1A"/>
          <w:sz w:val="22"/>
          <w:szCs w:val="22"/>
        </w:rPr>
        <w:t xml:space="preserve">Claude Opus 5 is the sensible default for this domain. The deciding feature is citations: with citations enabled, the response carries the quoted source text and the page number it came from. That turns every assertion into something a reviewer can check against the original PDF, which is exactly what assurance asks for.</w:t>
      </w:r>
    </w:p>
    <w:p>
      <w:pPr>
        <w:spacing w:after="120" w:line="276"/>
      </w:pPr>
      <w:r>
        <w:rPr>
          <w:color w:val="1A1A1A"/>
          <w:sz w:val="22"/>
          <w:szCs w:val="22"/>
        </w:rPr>
        <w:t xml:space="preserve">List prices, Anthropic first-party API, mid-2026:</w:t>
      </w:r>
    </w:p>
    <w:tbl>
      <w:tblPr>
        <w:tblW w:type="dxa" w:w="9360"/>
        <w:tblBorders>
          <w:top w:val="single" w:color="C9D6D1" w:sz="4"/>
          <w:left w:val="single" w:color="C9D6D1" w:sz="4"/>
          <w:bottom w:val="single" w:color="C9D6D1" w:sz="4"/>
          <w:right w:val="single" w:color="C9D6D1" w:sz="4"/>
          <w:insideH w:val="single" w:color="C9D6D1" w:sz="4"/>
          <w:insideV w:val="single" w:color="C9D6D1" w:sz="4"/>
        </w:tblBorders>
      </w:tblPr>
      <w:tblGrid>
        <w:gridCol w:w="2000"/>
        <w:gridCol w:w="1400"/>
        <w:gridCol w:w="1800"/>
        <w:gridCol w:w="4160"/>
      </w:tblGrid>
      <w:tr>
        <w:trPr>
          <w:tblHeader/>
        </w:trPr>
        <w:tc>
          <w:tcPr>
            <w:tcW w:type="dxa" w:w="2000"/>
            <w:shd w:fill="EAF1EE" w:val="clear"/>
            <w:tcMar>
              <w:top w:type="dxa" w:w="90"/>
              <w:left w:type="dxa" w:w="120"/>
              <w:bottom w:type="dxa" w:w="90"/>
              <w:right w:type="dxa" w:w="120"/>
            </w:tcMar>
          </w:tcPr>
          <w:p>
            <w:pPr>
              <w:spacing w:after="0" w:line="252"/>
            </w:pPr>
            <w:r>
              <w:rPr>
                <w:b/>
                <w:bCs/>
                <w:color w:val="144035"/>
                <w:sz w:val="18"/>
                <w:szCs w:val="18"/>
              </w:rPr>
              <w:t xml:space="preserve">Model</w:t>
            </w:r>
          </w:p>
        </w:tc>
        <w:tc>
          <w:tcPr>
            <w:tcW w:type="dxa" w:w="1400"/>
            <w:shd w:fill="EAF1EE" w:val="clear"/>
            <w:tcMar>
              <w:top w:type="dxa" w:w="90"/>
              <w:left w:type="dxa" w:w="120"/>
              <w:bottom w:type="dxa" w:w="90"/>
              <w:right w:type="dxa" w:w="120"/>
            </w:tcMar>
          </w:tcPr>
          <w:p>
            <w:pPr>
              <w:spacing w:after="0" w:line="252"/>
            </w:pPr>
            <w:r>
              <w:rPr>
                <w:b/>
                <w:bCs/>
                <w:color w:val="144035"/>
                <w:sz w:val="18"/>
                <w:szCs w:val="18"/>
              </w:rPr>
              <w:t xml:space="preserve">Context</w:t>
            </w:r>
          </w:p>
        </w:tc>
        <w:tc>
          <w:tcPr>
            <w:tcW w:type="dxa" w:w="1800"/>
            <w:shd w:fill="EAF1EE" w:val="clear"/>
            <w:tcMar>
              <w:top w:type="dxa" w:w="90"/>
              <w:left w:type="dxa" w:w="120"/>
              <w:bottom w:type="dxa" w:w="90"/>
              <w:right w:type="dxa" w:w="120"/>
            </w:tcMar>
          </w:tcPr>
          <w:p>
            <w:pPr>
              <w:spacing w:after="0" w:line="252"/>
            </w:pPr>
            <w:r>
              <w:rPr>
                <w:b/>
                <w:bCs/>
                <w:color w:val="144035"/>
                <w:sz w:val="18"/>
                <w:szCs w:val="18"/>
              </w:rPr>
              <w:t xml:space="preserve">Input / Output</w:t>
            </w:r>
          </w:p>
        </w:tc>
        <w:tc>
          <w:tcPr>
            <w:tcW w:type="dxa" w:w="4160"/>
            <w:shd w:fill="EAF1EE" w:val="clear"/>
            <w:tcMar>
              <w:top w:type="dxa" w:w="90"/>
              <w:left w:type="dxa" w:w="120"/>
              <w:bottom w:type="dxa" w:w="90"/>
              <w:right w:type="dxa" w:w="120"/>
            </w:tcMar>
          </w:tcPr>
          <w:p>
            <w:pPr>
              <w:spacing w:after="0" w:line="252"/>
            </w:pPr>
            <w:r>
              <w:rPr>
                <w:b/>
                <w:bCs/>
                <w:color w:val="144035"/>
                <w:sz w:val="18"/>
                <w:szCs w:val="18"/>
              </w:rPr>
              <w:t xml:space="preserve">Use it for</w:t>
            </w:r>
          </w:p>
        </w:tc>
      </w:tr>
      <w:tr>
        <w:tc>
          <w:tcPr>
            <w:tcW w:type="dxa" w:w="2000"/>
            <w:shd w:fill="FFFFFF" w:val="clear"/>
            <w:tcMar>
              <w:top w:type="dxa" w:w="90"/>
              <w:left w:type="dxa" w:w="120"/>
              <w:bottom w:type="dxa" w:w="90"/>
              <w:right w:type="dxa" w:w="120"/>
            </w:tcMar>
          </w:tcPr>
          <w:p>
            <w:pPr>
              <w:spacing w:after="0" w:line="252"/>
            </w:pPr>
            <w:r>
              <w:rPr>
                <w:color w:val="1A1A1A"/>
                <w:sz w:val="18"/>
                <w:szCs w:val="18"/>
              </w:rPr>
              <w:t xml:space="preserve">Claude Opus 5</w:t>
            </w:r>
          </w:p>
        </w:tc>
        <w:tc>
          <w:tcPr>
            <w:tcW w:type="dxa" w:w="1400"/>
            <w:shd w:fill="FFFFFF" w:val="clear"/>
            <w:tcMar>
              <w:top w:type="dxa" w:w="90"/>
              <w:left w:type="dxa" w:w="120"/>
              <w:bottom w:type="dxa" w:w="90"/>
              <w:right w:type="dxa" w:w="120"/>
            </w:tcMar>
          </w:tcPr>
          <w:p>
            <w:pPr>
              <w:spacing w:after="0" w:line="252"/>
            </w:pPr>
            <w:r>
              <w:rPr>
                <w:color w:val="1A1A1A"/>
                <w:sz w:val="18"/>
                <w:szCs w:val="18"/>
              </w:rPr>
              <w:t xml:space="preserve">1M</w:t>
            </w:r>
          </w:p>
        </w:tc>
        <w:tc>
          <w:tcPr>
            <w:tcW w:type="dxa" w:w="1800"/>
            <w:shd w:fill="FFFFFF" w:val="clear"/>
            <w:tcMar>
              <w:top w:type="dxa" w:w="90"/>
              <w:left w:type="dxa" w:w="120"/>
              <w:bottom w:type="dxa" w:w="90"/>
              <w:right w:type="dxa" w:w="120"/>
            </w:tcMar>
          </w:tcPr>
          <w:p>
            <w:pPr>
              <w:spacing w:after="0" w:line="252"/>
            </w:pPr>
            <w:r>
              <w:rPr>
                <w:color w:val="1A1A1A"/>
                <w:sz w:val="18"/>
                <w:szCs w:val="18"/>
              </w:rPr>
              <w:t xml:space="preserve">$5 / $25</w:t>
            </w:r>
          </w:p>
        </w:tc>
        <w:tc>
          <w:tcPr>
            <w:tcW w:type="dxa" w:w="4160"/>
            <w:shd w:fill="FFFFFF" w:val="clear"/>
            <w:tcMar>
              <w:top w:type="dxa" w:w="90"/>
              <w:left w:type="dxa" w:w="120"/>
              <w:bottom w:type="dxa" w:w="90"/>
              <w:right w:type="dxa" w:w="120"/>
            </w:tcMar>
          </w:tcPr>
          <w:p>
            <w:pPr>
              <w:spacing w:after="0" w:line="252"/>
            </w:pPr>
            <w:r>
              <w:rPr>
                <w:color w:val="1A1A1A"/>
                <w:sz w:val="18"/>
                <w:szCs w:val="18"/>
              </w:rPr>
              <w:t xml:space="preserve">Default. Materiality judgement, risk narratives, disclosure drafting, reconciliation.</w:t>
            </w:r>
          </w:p>
        </w:tc>
      </w:tr>
      <w:tr>
        <w:tc>
          <w:tcPr>
            <w:tcW w:type="dxa" w:w="2000"/>
            <w:shd w:fill="F7FAF9" w:val="clear"/>
            <w:tcMar>
              <w:top w:type="dxa" w:w="90"/>
              <w:left w:type="dxa" w:w="120"/>
              <w:bottom w:type="dxa" w:w="90"/>
              <w:right w:type="dxa" w:w="120"/>
            </w:tcMar>
          </w:tcPr>
          <w:p>
            <w:pPr>
              <w:spacing w:after="0" w:line="252"/>
            </w:pPr>
            <w:r>
              <w:rPr>
                <w:color w:val="1A1A1A"/>
                <w:sz w:val="18"/>
                <w:szCs w:val="18"/>
              </w:rPr>
              <w:t xml:space="preserve">Claude Fable 5.1</w:t>
            </w:r>
          </w:p>
        </w:tc>
        <w:tc>
          <w:tcPr>
            <w:tcW w:type="dxa" w:w="1400"/>
            <w:shd w:fill="F7FAF9" w:val="clear"/>
            <w:tcMar>
              <w:top w:type="dxa" w:w="90"/>
              <w:left w:type="dxa" w:w="120"/>
              <w:bottom w:type="dxa" w:w="90"/>
              <w:right w:type="dxa" w:w="120"/>
            </w:tcMar>
          </w:tcPr>
          <w:p>
            <w:pPr>
              <w:spacing w:after="0" w:line="252"/>
            </w:pPr>
            <w:r>
              <w:rPr>
                <w:color w:val="1A1A1A"/>
                <w:sz w:val="18"/>
                <w:szCs w:val="18"/>
              </w:rPr>
              <w:t xml:space="preserve">1M</w:t>
            </w:r>
          </w:p>
        </w:tc>
        <w:tc>
          <w:tcPr>
            <w:tcW w:type="dxa" w:w="1800"/>
            <w:shd w:fill="F7FAF9" w:val="clear"/>
            <w:tcMar>
              <w:top w:type="dxa" w:w="90"/>
              <w:left w:type="dxa" w:w="120"/>
              <w:bottom w:type="dxa" w:w="90"/>
              <w:right w:type="dxa" w:w="120"/>
            </w:tcMar>
          </w:tcPr>
          <w:p>
            <w:pPr>
              <w:spacing w:after="0" w:line="252"/>
            </w:pPr>
            <w:r>
              <w:rPr>
                <w:color w:val="1A1A1A"/>
                <w:sz w:val="18"/>
                <w:szCs w:val="18"/>
              </w:rPr>
              <w:t xml:space="preserve">$10 / $50</w:t>
            </w:r>
          </w:p>
        </w:tc>
        <w:tc>
          <w:tcPr>
            <w:tcW w:type="dxa" w:w="4160"/>
            <w:shd w:fill="F7FAF9" w:val="clear"/>
            <w:tcMar>
              <w:top w:type="dxa" w:w="90"/>
              <w:left w:type="dxa" w:w="120"/>
              <w:bottom w:type="dxa" w:w="90"/>
              <w:right w:type="dxa" w:w="120"/>
            </w:tcMar>
          </w:tcPr>
          <w:p>
            <w:pPr>
              <w:spacing w:after="0" w:line="252"/>
            </w:pPr>
            <w:r>
              <w:rPr>
                <w:color w:val="1A1A1A"/>
                <w:sz w:val="18"/>
                <w:szCs w:val="18"/>
              </w:rPr>
              <w:t xml:space="preserve">Most capable widely released model. Reserve for genuinely hard reasoning; not the everyday choice.</w:t>
            </w:r>
          </w:p>
        </w:tc>
      </w:tr>
      <w:tr>
        <w:tc>
          <w:tcPr>
            <w:tcW w:type="dxa" w:w="2000"/>
            <w:shd w:fill="FFFFFF" w:val="clear"/>
            <w:tcMar>
              <w:top w:type="dxa" w:w="90"/>
              <w:left w:type="dxa" w:w="120"/>
              <w:bottom w:type="dxa" w:w="90"/>
              <w:right w:type="dxa" w:w="120"/>
            </w:tcMar>
          </w:tcPr>
          <w:p>
            <w:pPr>
              <w:spacing w:after="0" w:line="252"/>
            </w:pPr>
            <w:r>
              <w:rPr>
                <w:color w:val="1A1A1A"/>
                <w:sz w:val="18"/>
                <w:szCs w:val="18"/>
              </w:rPr>
              <w:t xml:space="preserve">Claude Sonnet 5</w:t>
            </w:r>
          </w:p>
        </w:tc>
        <w:tc>
          <w:tcPr>
            <w:tcW w:type="dxa" w:w="1400"/>
            <w:shd w:fill="FFFFFF" w:val="clear"/>
            <w:tcMar>
              <w:top w:type="dxa" w:w="90"/>
              <w:left w:type="dxa" w:w="120"/>
              <w:bottom w:type="dxa" w:w="90"/>
              <w:right w:type="dxa" w:w="120"/>
            </w:tcMar>
          </w:tcPr>
          <w:p>
            <w:pPr>
              <w:spacing w:after="0" w:line="252"/>
            </w:pPr>
            <w:r>
              <w:rPr>
                <w:color w:val="1A1A1A"/>
                <w:sz w:val="18"/>
                <w:szCs w:val="18"/>
              </w:rPr>
              <w:t xml:space="preserve">1M</w:t>
            </w:r>
          </w:p>
        </w:tc>
        <w:tc>
          <w:tcPr>
            <w:tcW w:type="dxa" w:w="1800"/>
            <w:shd w:fill="FFFFFF" w:val="clear"/>
            <w:tcMar>
              <w:top w:type="dxa" w:w="90"/>
              <w:left w:type="dxa" w:w="120"/>
              <w:bottom w:type="dxa" w:w="90"/>
              <w:right w:type="dxa" w:w="120"/>
            </w:tcMar>
          </w:tcPr>
          <w:p>
            <w:pPr>
              <w:spacing w:after="0" w:line="252"/>
            </w:pPr>
            <w:r>
              <w:rPr>
                <w:color w:val="1A1A1A"/>
                <w:sz w:val="18"/>
                <w:szCs w:val="18"/>
              </w:rPr>
              <w:t xml:space="preserve">$2 / $10</w:t>
            </w:r>
          </w:p>
        </w:tc>
        <w:tc>
          <w:tcPr>
            <w:tcW w:type="dxa" w:w="4160"/>
            <w:shd w:fill="FFFFFF" w:val="clear"/>
            <w:tcMar>
              <w:top w:type="dxa" w:w="90"/>
              <w:left w:type="dxa" w:w="120"/>
              <w:bottom w:type="dxa" w:w="90"/>
              <w:right w:type="dxa" w:w="120"/>
            </w:tcMar>
          </w:tcPr>
          <w:p>
            <w:pPr>
              <w:spacing w:after="0" w:line="252"/>
            </w:pPr>
            <w:r>
              <w:rPr>
                <w:color w:val="1A1A1A"/>
                <w:sz w:val="18"/>
                <w:szCs w:val="18"/>
              </w:rPr>
              <w:t xml:space="preserve">Mid-tier throughput where judgement is lighter.</w:t>
            </w:r>
          </w:p>
        </w:tc>
      </w:tr>
      <w:tr>
        <w:tc>
          <w:tcPr>
            <w:tcW w:type="dxa" w:w="2000"/>
            <w:shd w:fill="F7FAF9" w:val="clear"/>
            <w:tcMar>
              <w:top w:type="dxa" w:w="90"/>
              <w:left w:type="dxa" w:w="120"/>
              <w:bottom w:type="dxa" w:w="90"/>
              <w:right w:type="dxa" w:w="120"/>
            </w:tcMar>
          </w:tcPr>
          <w:p>
            <w:pPr>
              <w:spacing w:after="0" w:line="252"/>
            </w:pPr>
            <w:r>
              <w:rPr>
                <w:color w:val="1A1A1A"/>
                <w:sz w:val="18"/>
                <w:szCs w:val="18"/>
              </w:rPr>
              <w:t xml:space="preserve">Claude Haiku 4.5</w:t>
            </w:r>
          </w:p>
        </w:tc>
        <w:tc>
          <w:tcPr>
            <w:tcW w:type="dxa" w:w="1400"/>
            <w:shd w:fill="F7FAF9" w:val="clear"/>
            <w:tcMar>
              <w:top w:type="dxa" w:w="90"/>
              <w:left w:type="dxa" w:w="120"/>
              <w:bottom w:type="dxa" w:w="90"/>
              <w:right w:type="dxa" w:w="120"/>
            </w:tcMar>
          </w:tcPr>
          <w:p>
            <w:pPr>
              <w:spacing w:after="0" w:line="252"/>
            </w:pPr>
            <w:r>
              <w:rPr>
                <w:color w:val="1A1A1A"/>
                <w:sz w:val="18"/>
                <w:szCs w:val="18"/>
              </w:rPr>
              <w:t xml:space="preserve">200K</w:t>
            </w:r>
          </w:p>
        </w:tc>
        <w:tc>
          <w:tcPr>
            <w:tcW w:type="dxa" w:w="1800"/>
            <w:shd w:fill="F7FAF9" w:val="clear"/>
            <w:tcMar>
              <w:top w:type="dxa" w:w="90"/>
              <w:left w:type="dxa" w:w="120"/>
              <w:bottom w:type="dxa" w:w="90"/>
              <w:right w:type="dxa" w:w="120"/>
            </w:tcMar>
          </w:tcPr>
          <w:p>
            <w:pPr>
              <w:spacing w:after="0" w:line="252"/>
            </w:pPr>
            <w:r>
              <w:rPr>
                <w:color w:val="1A1A1A"/>
                <w:sz w:val="18"/>
                <w:szCs w:val="18"/>
              </w:rPr>
              <w:t xml:space="preserve">$1 / $5</w:t>
            </w:r>
          </w:p>
        </w:tc>
        <w:tc>
          <w:tcPr>
            <w:tcW w:type="dxa" w:w="4160"/>
            <w:shd w:fill="F7FAF9" w:val="clear"/>
            <w:tcMar>
              <w:top w:type="dxa" w:w="90"/>
              <w:left w:type="dxa" w:w="120"/>
              <w:bottom w:type="dxa" w:w="90"/>
              <w:right w:type="dxa" w:w="120"/>
            </w:tcMar>
          </w:tcPr>
          <w:p>
            <w:pPr>
              <w:spacing w:after="0" w:line="252"/>
            </w:pPr>
            <w:r>
              <w:rPr>
                <w:color w:val="1A1A1A"/>
                <w:sz w:val="18"/>
                <w:szCs w:val="18"/>
              </w:rPr>
              <w:t xml:space="preserve">High-volume extraction: invoices, meter data, supplier questionnaires.</w:t>
            </w:r>
          </w:p>
        </w:tc>
      </w:tr>
    </w:tbl>
    <w:p>
      <w:pPr>
        <w:spacing w:after="120"/>
      </w:pPr>
    </w:p>
    <w:p>
      <w:pPr>
        <w:spacing w:after="120" w:line="276"/>
      </w:pPr>
      <w:r>
        <w:rPr>
          <w:i/>
          <w:iCs/>
          <w:color w:val="1A1A1A"/>
          <w:sz w:val="22"/>
          <w:szCs w:val="22"/>
        </w:rPr>
        <w:t xml:space="preserve">Split the work across two models rather than paying top rate for everything. Haiku handles extraction at volume; Opus 5 handles anything that requires a judgement you would defend to a client.</w:t>
      </w:r>
    </w:p>
    <w:p>
      <w:pPr>
        <w:pStyle w:val="Heading2"/>
        <w:spacing w:after="100" w:before="200"/>
      </w:pPr>
      <w:r>
        <w:rPr>
          <w:b/>
          <w:bCs/>
          <w:color w:val="1A1A1A"/>
          <w:sz w:val="23"/>
          <w:szCs w:val="23"/>
        </w:rPr>
        <w:t xml:space="preserve">Harness: which one depends on repeatability</w:t>
      </w:r>
    </w:p>
    <w:p>
      <w:pPr>
        <w:pStyle w:val="ListParagraph"/>
        <w:numPr>
          <w:ilvl w:val="0"/>
          <w:numId w:val="2"/>
        </w:numPr>
        <w:spacing w:after="80" w:line="276"/>
      </w:pPr>
      <w:r>
        <w:rPr>
          <w:b/>
          <w:bCs/>
          <w:color w:val="1A1A1A"/>
          <w:sz w:val="22"/>
          <w:szCs w:val="22"/>
        </w:rPr>
        <w:t xml:space="preserve">Claude Code.  </w:t>
      </w:r>
      <w:r>
        <w:rPr>
          <w:color w:val="1A1A1A"/>
          <w:sz w:val="22"/>
          <w:szCs w:val="22"/>
        </w:rPr>
        <w:t xml:space="preserve">Right for consulting deliverables built once per client, where an analyst steers each pass and reviews the output. This is the pattern behind the workshop-style climate builds.</w:t>
      </w:r>
    </w:p>
    <w:p>
      <w:pPr>
        <w:pStyle w:val="ListParagraph"/>
        <w:numPr>
          <w:ilvl w:val="0"/>
          <w:numId w:val="2"/>
        </w:numPr>
        <w:spacing w:after="80" w:line="276"/>
      </w:pPr>
      <w:r>
        <w:rPr>
          <w:b/>
          <w:bCs/>
          <w:color w:val="1A1A1A"/>
          <w:sz w:val="22"/>
          <w:szCs w:val="22"/>
        </w:rPr>
        <w:t xml:space="preserve">Managed Agents.  </w:t>
      </w:r>
      <w:r>
        <w:rPr>
          <w:color w:val="1A1A1A"/>
          <w:sz w:val="22"/>
          <w:szCs w:val="22"/>
        </w:rPr>
        <w:t xml:space="preserve">Right when the same assessment runs on a schedule across a portfolio. Anthropic hosts the loop and the workspace, agent configs are versioned, and deployments fire on a cron cadence.</w:t>
      </w:r>
    </w:p>
    <w:p>
      <w:pPr>
        <w:pStyle w:val="Heading1"/>
        <w:pBdr>
          <w:bottom w:val="single" w:color="C9D6D1" w:sz="6" w:space="6"/>
        </w:pBdr>
        <w:spacing w:after="140" w:before="320"/>
      </w:pPr>
      <w:r>
        <w:rPr>
          <w:b/>
          <w:bCs/>
          <w:color w:val="1F5C4D"/>
          <w:sz w:val="28"/>
          <w:szCs w:val="28"/>
        </w:rPr>
        <w:t xml:space="preserve">4.  Where climate risk assessments actually fail</w:t>
      </w:r>
    </w:p>
    <w:p>
      <w:pPr>
        <w:spacing w:after="120" w:line="276"/>
      </w:pPr>
      <w:r>
        <w:rPr>
          <w:color w:val="1A1A1A"/>
          <w:sz w:val="22"/>
          <w:szCs w:val="22"/>
        </w:rPr>
        <w:t xml:space="preserve">The data layer, not the model layer. This is settled by evidence rather than opinion.</w:t>
      </w:r>
    </w:p>
    <w:p>
      <w:pPr>
        <w:spacing w:after="120" w:line="276"/>
      </w:pPr>
      <w:r>
        <w:rPr>
          <w:color w:val="1A1A1A"/>
          <w:sz w:val="22"/>
          <w:szCs w:val="22"/>
        </w:rPr>
        <w:t xml:space="preserve">The GARP Risk Institute ran the benchmark that makes the point. Jo Paisley and Maxine Nelson assessed 13 physical risk vendors anonymously for the Financial Resilience Working Group of the UK's Climate Financial Risk Forum, published October 2025 as A Risk Professional's Guide to Physical Risk Assessments. Every vendor received the same 100 properties across the UK, mainland Europe, the US and Asia.</w:t>
      </w:r>
    </w:p>
    <w:tbl>
      <w:tblPr>
        <w:tblW w:type="dxa" w:w="9360"/>
        <w:tblBorders>
          <w:top w:val="single" w:color="C9D6D1" w:sz="4"/>
          <w:left w:val="single" w:color="C9D6D1" w:sz="4"/>
          <w:bottom w:val="single" w:color="C9D6D1" w:sz="4"/>
          <w:right w:val="single" w:color="C9D6D1" w:sz="4"/>
          <w:insideH w:val="single" w:color="C9D6D1" w:sz="4"/>
          <w:insideV w:val="single" w:color="C9D6D1" w:sz="4"/>
        </w:tblBorders>
      </w:tblPr>
      <w:tblGrid>
        <w:gridCol w:w="3400"/>
        <w:gridCol w:w="5960"/>
      </w:tblGrid>
      <w:tr>
        <w:trPr>
          <w:tblHeader/>
        </w:trPr>
        <w:tc>
          <w:tcPr>
            <w:tcW w:type="dxa" w:w="3400"/>
            <w:shd w:fill="EAF1EE" w:val="clear"/>
            <w:tcMar>
              <w:top w:type="dxa" w:w="90"/>
              <w:left w:type="dxa" w:w="120"/>
              <w:bottom w:type="dxa" w:w="90"/>
              <w:right w:type="dxa" w:w="120"/>
            </w:tcMar>
          </w:tcPr>
          <w:p>
            <w:pPr>
              <w:spacing w:after="0" w:line="252"/>
            </w:pPr>
            <w:r>
              <w:rPr>
                <w:b/>
                <w:bCs/>
                <w:color w:val="144035"/>
                <w:sz w:val="18"/>
                <w:szCs w:val="18"/>
              </w:rPr>
              <w:t xml:space="preserve">Measure</w:t>
            </w:r>
          </w:p>
        </w:tc>
        <w:tc>
          <w:tcPr>
            <w:tcW w:type="dxa" w:w="5960"/>
            <w:shd w:fill="EAF1EE" w:val="clear"/>
            <w:tcMar>
              <w:top w:type="dxa" w:w="90"/>
              <w:left w:type="dxa" w:w="120"/>
              <w:bottom w:type="dxa" w:w="90"/>
              <w:right w:type="dxa" w:w="120"/>
            </w:tcMar>
          </w:tcPr>
          <w:p>
            <w:pPr>
              <w:spacing w:after="0" w:line="252"/>
            </w:pPr>
            <w:r>
              <w:rPr>
                <w:b/>
                <w:bCs/>
                <w:color w:val="144035"/>
                <w:sz w:val="18"/>
                <w:szCs w:val="18"/>
              </w:rPr>
              <w:t xml:space="preserve">What the study found</w:t>
            </w:r>
          </w:p>
        </w:tc>
      </w:tr>
      <w:tr>
        <w:tc>
          <w:tcPr>
            <w:tcW w:type="dxa" w:w="3400"/>
            <w:shd w:fill="FFFFFF" w:val="clear"/>
            <w:tcMar>
              <w:top w:type="dxa" w:w="90"/>
              <w:left w:type="dxa" w:w="120"/>
              <w:bottom w:type="dxa" w:w="90"/>
              <w:right w:type="dxa" w:w="120"/>
            </w:tcMar>
          </w:tcPr>
          <w:p>
            <w:pPr>
              <w:spacing w:after="0" w:line="252"/>
            </w:pPr>
            <w:r>
              <w:rPr>
                <w:color w:val="1A1A1A"/>
                <w:sz w:val="18"/>
                <w:szCs w:val="18"/>
              </w:rPr>
              <w:t xml:space="preserve">Flood damage-ratio correlation between vendors</w:t>
            </w:r>
          </w:p>
        </w:tc>
        <w:tc>
          <w:tcPr>
            <w:tcW w:type="dxa" w:w="5960"/>
            <w:shd w:fill="FFFFFF" w:val="clear"/>
            <w:tcMar>
              <w:top w:type="dxa" w:w="90"/>
              <w:left w:type="dxa" w:w="120"/>
              <w:bottom w:type="dxa" w:w="90"/>
              <w:right w:type="dxa" w:w="120"/>
            </w:tcMar>
          </w:tcPr>
          <w:p>
            <w:pPr>
              <w:spacing w:after="0" w:line="252"/>
            </w:pPr>
            <w:r>
              <w:rPr>
                <w:color w:val="1A1A1A"/>
                <w:sz w:val="18"/>
                <w:szCs w:val="18"/>
              </w:rPr>
              <w:t xml:space="preserve">Ranged from 0.2 to 0.9</w:t>
            </w:r>
          </w:p>
        </w:tc>
      </w:tr>
      <w:tr>
        <w:tc>
          <w:tcPr>
            <w:tcW w:type="dxa" w:w="3400"/>
            <w:shd w:fill="F7FAF9" w:val="clear"/>
            <w:tcMar>
              <w:top w:type="dxa" w:w="90"/>
              <w:left w:type="dxa" w:w="120"/>
              <w:bottom w:type="dxa" w:w="90"/>
              <w:right w:type="dxa" w:w="120"/>
            </w:tcMar>
          </w:tcPr>
          <w:p>
            <w:pPr>
              <w:spacing w:after="0" w:line="252"/>
            </w:pPr>
            <w:r>
              <w:rPr>
                <w:color w:val="1A1A1A"/>
                <w:sz w:val="18"/>
                <w:szCs w:val="18"/>
              </w:rPr>
              <w:t xml:space="preserve">Warming under the same RCP 8.5 scenario</w:t>
            </w:r>
          </w:p>
        </w:tc>
        <w:tc>
          <w:tcPr>
            <w:tcW w:type="dxa" w:w="5960"/>
            <w:shd w:fill="F7FAF9" w:val="clear"/>
            <w:tcMar>
              <w:top w:type="dxa" w:w="90"/>
              <w:left w:type="dxa" w:w="120"/>
              <w:bottom w:type="dxa" w:w="90"/>
              <w:right w:type="dxa" w:w="120"/>
            </w:tcMar>
          </w:tcPr>
          <w:p>
            <w:pPr>
              <w:spacing w:after="0" w:line="252"/>
            </w:pPr>
            <w:r>
              <w:rPr>
                <w:color w:val="1A1A1A"/>
                <w:sz w:val="18"/>
                <w:szCs w:val="18"/>
              </w:rPr>
              <w:t xml:space="preserve">0.7°C spread by 2025, widening to 3.2–5.7°C by 2100</w:t>
            </w:r>
          </w:p>
        </w:tc>
      </w:tr>
      <w:tr>
        <w:tc>
          <w:tcPr>
            <w:tcW w:type="dxa" w:w="3400"/>
            <w:shd w:fill="FFFFFF" w:val="clear"/>
            <w:tcMar>
              <w:top w:type="dxa" w:w="90"/>
              <w:left w:type="dxa" w:w="120"/>
              <w:bottom w:type="dxa" w:w="90"/>
              <w:right w:type="dxa" w:w="120"/>
            </w:tcMar>
          </w:tcPr>
          <w:p>
            <w:pPr>
              <w:spacing w:after="0" w:line="252"/>
            </w:pPr>
            <w:r>
              <w:rPr>
                <w:color w:val="1A1A1A"/>
                <w:sz w:val="18"/>
                <w:szCs w:val="18"/>
              </w:rPr>
              <w:t xml:space="preserve">Hazard exposure</w:t>
            </w:r>
          </w:p>
        </w:tc>
        <w:tc>
          <w:tcPr>
            <w:tcW w:type="dxa" w:w="5960"/>
            <w:shd w:fill="FFFFFF" w:val="clear"/>
            <w:tcMar>
              <w:top w:type="dxa" w:w="90"/>
              <w:left w:type="dxa" w:w="120"/>
              <w:bottom w:type="dxa" w:w="90"/>
              <w:right w:type="dxa" w:w="120"/>
            </w:tcMar>
          </w:tcPr>
          <w:p>
            <w:pPr>
              <w:spacing w:after="0" w:line="252"/>
            </w:pPr>
            <w:r>
              <w:rPr>
                <w:color w:val="1A1A1A"/>
                <w:sz w:val="18"/>
                <w:szCs w:val="18"/>
              </w:rPr>
              <w:t xml:space="preserve">The same property rated highly exposed by some vendors and not exposed at all by others</w:t>
            </w:r>
          </w:p>
        </w:tc>
      </w:tr>
      <w:tr>
        <w:tc>
          <w:tcPr>
            <w:tcW w:type="dxa" w:w="3400"/>
            <w:shd w:fill="F7FAF9" w:val="clear"/>
            <w:tcMar>
              <w:top w:type="dxa" w:w="90"/>
              <w:left w:type="dxa" w:w="120"/>
              <w:bottom w:type="dxa" w:w="90"/>
              <w:right w:type="dxa" w:w="120"/>
            </w:tcMar>
          </w:tcPr>
          <w:p>
            <w:pPr>
              <w:spacing w:after="0" w:line="252"/>
            </w:pPr>
            <w:r>
              <w:rPr>
                <w:color w:val="1A1A1A"/>
                <w:sz w:val="18"/>
                <w:szCs w:val="18"/>
              </w:rPr>
              <w:t xml:space="preserve">Damage ratios</w:t>
            </w:r>
          </w:p>
        </w:tc>
        <w:tc>
          <w:tcPr>
            <w:tcW w:type="dxa" w:w="5960"/>
            <w:shd w:fill="F7FAF9" w:val="clear"/>
            <w:tcMar>
              <w:top w:type="dxa" w:w="90"/>
              <w:left w:type="dxa" w:w="120"/>
              <w:bottom w:type="dxa" w:w="90"/>
              <w:right w:type="dxa" w:w="120"/>
            </w:tcMar>
          </w:tcPr>
          <w:p>
            <w:pPr>
              <w:spacing w:after="0" w:line="252"/>
            </w:pPr>
            <w:r>
              <w:rPr>
                <w:color w:val="1A1A1A"/>
                <w:sz w:val="18"/>
                <w:szCs w:val="18"/>
              </w:rPr>
              <w:t xml:space="preserve">Dispersion across every peril tested: coastal flood, cyclone, windstorm and heat</w:t>
            </w:r>
          </w:p>
        </w:tc>
      </w:tr>
      <w:tr>
        <w:tc>
          <w:tcPr>
            <w:tcW w:type="dxa" w:w="3400"/>
            <w:shd w:fill="FFFFFF" w:val="clear"/>
            <w:tcMar>
              <w:top w:type="dxa" w:w="90"/>
              <w:left w:type="dxa" w:w="120"/>
              <w:bottom w:type="dxa" w:w="90"/>
              <w:right w:type="dxa" w:w="120"/>
            </w:tcMar>
          </w:tcPr>
          <w:p>
            <w:pPr>
              <w:spacing w:after="0" w:line="252"/>
            </w:pPr>
            <w:r>
              <w:rPr>
                <w:color w:val="1A1A1A"/>
                <w:sz w:val="18"/>
                <w:szCs w:val="18"/>
              </w:rPr>
              <w:t xml:space="preserve">Hazard to damage relationship</w:t>
            </w:r>
          </w:p>
        </w:tc>
        <w:tc>
          <w:tcPr>
            <w:tcW w:type="dxa" w:w="5960"/>
            <w:shd w:fill="FFFFFF" w:val="clear"/>
            <w:tcMar>
              <w:top w:type="dxa" w:w="90"/>
              <w:left w:type="dxa" w:w="120"/>
              <w:bottom w:type="dxa" w:w="90"/>
              <w:right w:type="dxa" w:w="120"/>
            </w:tcMar>
          </w:tcPr>
          <w:p>
            <w:pPr>
              <w:spacing w:after="0" w:line="252"/>
            </w:pPr>
            <w:r>
              <w:rPr>
                <w:color w:val="1A1A1A"/>
                <w:sz w:val="18"/>
                <w:szCs w:val="18"/>
              </w:rPr>
              <w:t xml:space="preserve">Sensible across vendor means, but extremely variable vendor by vendor</w:t>
            </w:r>
          </w:p>
        </w:tc>
      </w:tr>
    </w:tbl>
    <w:p>
      <w:pPr>
        <w:spacing w:after="140"/>
      </w:pPr>
    </w:p>
    <w:p>
      <w:pPr>
        <w:spacing w:after="120" w:line="276"/>
      </w:pPr>
      <w:r>
        <w:rPr>
          <w:color w:val="1A1A1A"/>
          <w:sz w:val="22"/>
          <w:szCs w:val="22"/>
        </w:rPr>
        <w:t xml:space="preserve">The warming figure is the one worth showing a client. These vendors were handed an identical scenario and still landed roughly 2.5°C apart by 2100, so the divergence does not start at the property. It starts at the climate input and compounds downward. GARP calls this the complexity cascade: modelling choices stack across weather, hydrology, hydraulics, damage functions and scenarios.</w:t>
      </w:r>
    </w:p>
    <w:p>
      <w:pPr>
        <w:spacing w:after="120" w:line="276"/>
      </w:pPr>
      <w:r>
        <w:rPr>
          <w:color w:val="1A1A1A"/>
          <w:sz w:val="22"/>
          <w:szCs w:val="22"/>
        </w:rPr>
        <w:t xml:space="preserve">CarbonPlan found the same pattern independently. Comparing a commercial flood model against an open academic model on Los Angeles County properties, the two agreed on roughly one in five.</w:t>
      </w:r>
    </w:p>
    <w:p>
      <w:pPr>
        <w:pBdr>
          <w:left w:val="single" w:color="1F5C4D" w:sz="18" w:space="10"/>
        </w:pBdr>
        <w:shd w:fill="EAF1EE" w:val="clear"/>
        <w:spacing w:after="140" w:before="140" w:line="276"/>
        <w:ind w:left="200" w:right="200"/>
      </w:pPr>
      <w:r>
        <w:rPr>
          <w:color w:val="174036"/>
          <w:sz w:val="21"/>
          <w:szCs w:val="21"/>
        </w:rPr>
        <w:t xml:space="preserve">GARP's own conclusion is blunt: there is no best vendor. Suitability depends on the use case and the data quality behind it. Treat any single-vendor number as an opinion, not a measurement.</w:t>
      </w:r>
    </w:p>
    <w:p>
      <w:pPr>
        <w:spacing w:after="120" w:line="276"/>
      </w:pPr>
      <w:r>
        <w:rPr>
          <w:color w:val="1A1A1A"/>
          <w:sz w:val="22"/>
          <w:szCs w:val="22"/>
        </w:rPr>
        <w:t xml:space="preserve">What to do instead:</w:t>
      </w:r>
    </w:p>
    <w:p>
      <w:pPr>
        <w:pStyle w:val="ListParagraph"/>
        <w:numPr>
          <w:ilvl w:val="0"/>
          <w:numId w:val="3"/>
        </w:numPr>
        <w:spacing w:after="90" w:line="276"/>
      </w:pPr>
      <w:r>
        <w:rPr>
          <w:color w:val="1A1A1A"/>
          <w:sz w:val="22"/>
          <w:szCs w:val="22"/>
        </w:rPr>
        <w:t xml:space="preserve">Licence two providers and run both across the portfolio.</w:t>
      </w:r>
    </w:p>
    <w:p>
      <w:pPr>
        <w:pStyle w:val="ListParagraph"/>
        <w:numPr>
          <w:ilvl w:val="0"/>
          <w:numId w:val="3"/>
        </w:numPr>
        <w:spacing w:after="90" w:line="276"/>
      </w:pPr>
      <w:r>
        <w:rPr>
          <w:color w:val="1A1A1A"/>
          <w:sz w:val="22"/>
          <w:szCs w:val="22"/>
        </w:rPr>
        <w:t xml:space="preserve">Report the spread, not a single figure. Where they agree, confidence is genuine; where they diverge, that is the finding.</w:t>
      </w:r>
    </w:p>
    <w:p>
      <w:pPr>
        <w:pStyle w:val="ListParagraph"/>
        <w:numPr>
          <w:ilvl w:val="0"/>
          <w:numId w:val="3"/>
        </w:numPr>
        <w:spacing w:after="90" w:line="276"/>
      </w:pPr>
      <w:r>
        <w:rPr>
          <w:color w:val="1A1A1A"/>
          <w:sz w:val="22"/>
          <w:szCs w:val="22"/>
        </w:rPr>
        <w:t xml:space="preserve">Disclose the model, the scenario and the vintage behind every number you publish.</w:t>
      </w:r>
    </w:p>
    <w:p>
      <w:pPr>
        <w:pStyle w:val="ListParagraph"/>
        <w:numPr>
          <w:ilvl w:val="0"/>
          <w:numId w:val="3"/>
        </w:numPr>
        <w:spacing w:after="90" w:line="276"/>
      </w:pPr>
      <w:r>
        <w:rPr>
          <w:color w:val="1A1A1A"/>
          <w:sz w:val="22"/>
          <w:szCs w:val="22"/>
        </w:rPr>
        <w:t xml:space="preserve">Keep an open-source model as a sanity check on the commercial ones.</w:t>
      </w:r>
    </w:p>
    <w:p>
      <w:pPr>
        <w:pStyle w:val="Heading1"/>
        <w:pBdr>
          <w:bottom w:val="single" w:color="C9D6D1" w:sz="6" w:space="6"/>
        </w:pBdr>
        <w:spacing w:after="140" w:before="320"/>
      </w:pPr>
      <w:r>
        <w:rPr>
          <w:b/>
          <w:bCs/>
          <w:color w:val="1F5C4D"/>
          <w:sz w:val="28"/>
          <w:szCs w:val="28"/>
        </w:rPr>
        <w:t xml:space="preserve">5.  Choosing at the data layer</w:t>
      </w:r>
    </w:p>
    <w:p>
      <w:pPr>
        <w:pStyle w:val="Heading2"/>
        <w:spacing w:after="100" w:before="200"/>
      </w:pPr>
      <w:r>
        <w:rPr>
          <w:b/>
          <w:bCs/>
          <w:color w:val="1A1A1A"/>
          <w:sz w:val="23"/>
          <w:szCs w:val="23"/>
        </w:rPr>
        <w:t xml:space="preserve">Physical risk</w:t>
      </w:r>
    </w:p>
    <w:tbl>
      <w:tblPr>
        <w:tblW w:type="dxa" w:w="9360"/>
        <w:tblBorders>
          <w:top w:val="single" w:color="C9D6D1" w:sz="4"/>
          <w:left w:val="single" w:color="C9D6D1" w:sz="4"/>
          <w:bottom w:val="single" w:color="C9D6D1" w:sz="4"/>
          <w:right w:val="single" w:color="C9D6D1" w:sz="4"/>
          <w:insideH w:val="single" w:color="C9D6D1" w:sz="4"/>
          <w:insideV w:val="single" w:color="C9D6D1" w:sz="4"/>
        </w:tblBorders>
      </w:tblPr>
      <w:tblGrid>
        <w:gridCol w:w="2100"/>
        <w:gridCol w:w="4000"/>
        <w:gridCol w:w="3260"/>
      </w:tblGrid>
      <w:tr>
        <w:trPr>
          <w:tblHeader/>
        </w:trPr>
        <w:tc>
          <w:tcPr>
            <w:tcW w:type="dxa" w:w="2100"/>
            <w:shd w:fill="EAF1EE" w:val="clear"/>
            <w:tcMar>
              <w:top w:type="dxa" w:w="90"/>
              <w:left w:type="dxa" w:w="120"/>
              <w:bottom w:type="dxa" w:w="90"/>
              <w:right w:type="dxa" w:w="120"/>
            </w:tcMar>
          </w:tcPr>
          <w:p>
            <w:pPr>
              <w:spacing w:after="0" w:line="252"/>
            </w:pPr>
            <w:r>
              <w:rPr>
                <w:b/>
                <w:bCs/>
                <w:color w:val="144035"/>
                <w:sz w:val="18"/>
                <w:szCs w:val="18"/>
              </w:rPr>
              <w:t xml:space="preserve">Vendor</w:t>
            </w:r>
          </w:p>
        </w:tc>
        <w:tc>
          <w:tcPr>
            <w:tcW w:type="dxa" w:w="4000"/>
            <w:shd w:fill="EAF1EE" w:val="clear"/>
            <w:tcMar>
              <w:top w:type="dxa" w:w="90"/>
              <w:left w:type="dxa" w:w="120"/>
              <w:bottom w:type="dxa" w:w="90"/>
              <w:right w:type="dxa" w:w="120"/>
            </w:tcMar>
          </w:tcPr>
          <w:p>
            <w:pPr>
              <w:spacing w:after="0" w:line="252"/>
            </w:pPr>
            <w:r>
              <w:rPr>
                <w:b/>
                <w:bCs/>
                <w:color w:val="144035"/>
                <w:sz w:val="18"/>
                <w:szCs w:val="18"/>
              </w:rPr>
              <w:t xml:space="preserve">Strength</w:t>
            </w:r>
          </w:p>
        </w:tc>
        <w:tc>
          <w:tcPr>
            <w:tcW w:type="dxa" w:w="3260"/>
            <w:shd w:fill="EAF1EE" w:val="clear"/>
            <w:tcMar>
              <w:top w:type="dxa" w:w="90"/>
              <w:left w:type="dxa" w:w="120"/>
              <w:bottom w:type="dxa" w:w="90"/>
              <w:right w:type="dxa" w:w="120"/>
            </w:tcMar>
          </w:tcPr>
          <w:p>
            <w:pPr>
              <w:spacing w:after="0" w:line="252"/>
            </w:pPr>
            <w:r>
              <w:rPr>
                <w:b/>
                <w:bCs/>
                <w:color w:val="144035"/>
                <w:sz w:val="18"/>
                <w:szCs w:val="18"/>
              </w:rPr>
              <w:t xml:space="preserve">Commercial shape</w:t>
            </w:r>
          </w:p>
        </w:tc>
      </w:tr>
      <w:tr>
        <w:tc>
          <w:tcPr>
            <w:tcW w:type="dxa" w:w="2100"/>
            <w:shd w:fill="FFFFFF" w:val="clear"/>
            <w:tcMar>
              <w:top w:type="dxa" w:w="90"/>
              <w:left w:type="dxa" w:w="120"/>
              <w:bottom w:type="dxa" w:w="90"/>
              <w:right w:type="dxa" w:w="120"/>
            </w:tcMar>
          </w:tcPr>
          <w:p>
            <w:pPr>
              <w:spacing w:after="0" w:line="252"/>
            </w:pPr>
            <w:r>
              <w:rPr>
                <w:color w:val="1A1A1A"/>
                <w:sz w:val="18"/>
                <w:szCs w:val="18"/>
              </w:rPr>
              <w:t xml:space="preserve">Jupiter Intelligence</w:t>
            </w:r>
          </w:p>
        </w:tc>
        <w:tc>
          <w:tcPr>
            <w:tcW w:type="dxa" w:w="4000"/>
            <w:shd w:fill="FFFFFF" w:val="clear"/>
            <w:tcMar>
              <w:top w:type="dxa" w:w="90"/>
              <w:left w:type="dxa" w:w="120"/>
              <w:bottom w:type="dxa" w:w="90"/>
              <w:right w:type="dxa" w:w="120"/>
            </w:tcMar>
          </w:tcPr>
          <w:p>
            <w:pPr>
              <w:spacing w:after="0" w:line="252"/>
            </w:pPr>
            <w:r>
              <w:rPr>
                <w:color w:val="1A1A1A"/>
                <w:sz w:val="18"/>
                <w:szCs w:val="18"/>
              </w:rPr>
              <w:t xml:space="preserve">22.3bn locations, three scenarios in five-year steps to 2100, adaptation ROI modelling</w:t>
            </w:r>
          </w:p>
        </w:tc>
        <w:tc>
          <w:tcPr>
            <w:tcW w:type="dxa" w:w="3260"/>
            <w:shd w:fill="FFFFFF" w:val="clear"/>
            <w:tcMar>
              <w:top w:type="dxa" w:w="90"/>
              <w:left w:type="dxa" w:w="120"/>
              <w:bottom w:type="dxa" w:w="90"/>
              <w:right w:type="dxa" w:w="120"/>
            </w:tcMar>
          </w:tcPr>
          <w:p>
            <w:pPr>
              <w:spacing w:after="0" w:line="252"/>
            </w:pPr>
            <w:r>
              <w:rPr>
                <w:color w:val="1A1A1A"/>
                <w:sz w:val="18"/>
                <w:szCs w:val="18"/>
              </w:rPr>
              <w:t xml:space="preserve">Enterprise, six figures annually</w:t>
            </w:r>
          </w:p>
        </w:tc>
      </w:tr>
      <w:tr>
        <w:tc>
          <w:tcPr>
            <w:tcW w:type="dxa" w:w="2100"/>
            <w:shd w:fill="F7FAF9" w:val="clear"/>
            <w:tcMar>
              <w:top w:type="dxa" w:w="90"/>
              <w:left w:type="dxa" w:w="120"/>
              <w:bottom w:type="dxa" w:w="90"/>
              <w:right w:type="dxa" w:w="120"/>
            </w:tcMar>
          </w:tcPr>
          <w:p>
            <w:pPr>
              <w:spacing w:after="0" w:line="252"/>
            </w:pPr>
            <w:r>
              <w:rPr>
                <w:color w:val="1A1A1A"/>
                <w:sz w:val="18"/>
                <w:szCs w:val="18"/>
              </w:rPr>
              <w:t xml:space="preserve">XDI</w:t>
            </w:r>
          </w:p>
        </w:tc>
        <w:tc>
          <w:tcPr>
            <w:tcW w:type="dxa" w:w="4000"/>
            <w:shd w:fill="F7FAF9" w:val="clear"/>
            <w:tcMar>
              <w:top w:type="dxa" w:w="90"/>
              <w:left w:type="dxa" w:w="120"/>
              <w:bottom w:type="dxa" w:w="90"/>
              <w:right w:type="dxa" w:w="120"/>
            </w:tcMar>
          </w:tcPr>
          <w:p>
            <w:pPr>
              <w:spacing w:after="0" w:line="252"/>
            </w:pPr>
            <w:r>
              <w:rPr>
                <w:color w:val="1A1A1A"/>
                <w:sz w:val="18"/>
                <w:szCs w:val="18"/>
              </w:rPr>
              <w:t xml:space="preserve">Nine hazards, four scenarios to 2100, resolution to five metres, damage in monetary terms</w:t>
            </w:r>
          </w:p>
        </w:tc>
        <w:tc>
          <w:tcPr>
            <w:tcW w:type="dxa" w:w="3260"/>
            <w:shd w:fill="F7FAF9" w:val="clear"/>
            <w:tcMar>
              <w:top w:type="dxa" w:w="90"/>
              <w:left w:type="dxa" w:w="120"/>
              <w:bottom w:type="dxa" w:w="90"/>
              <w:right w:type="dxa" w:w="120"/>
            </w:tcMar>
          </w:tcPr>
          <w:p>
            <w:pPr>
              <w:spacing w:after="0" w:line="252"/>
            </w:pPr>
            <w:r>
              <w:rPr>
                <w:color w:val="1A1A1A"/>
                <w:sz w:val="18"/>
                <w:szCs w:val="18"/>
              </w:rPr>
              <w:t xml:space="preserve">Enterprise</w:t>
            </w:r>
          </w:p>
        </w:tc>
      </w:tr>
      <w:tr>
        <w:tc>
          <w:tcPr>
            <w:tcW w:type="dxa" w:w="2100"/>
            <w:shd w:fill="FFFFFF" w:val="clear"/>
            <w:tcMar>
              <w:top w:type="dxa" w:w="90"/>
              <w:left w:type="dxa" w:w="120"/>
              <w:bottom w:type="dxa" w:w="90"/>
              <w:right w:type="dxa" w:w="120"/>
            </w:tcMar>
          </w:tcPr>
          <w:p>
            <w:pPr>
              <w:spacing w:after="0" w:line="252"/>
            </w:pPr>
            <w:r>
              <w:rPr>
                <w:color w:val="1A1A1A"/>
                <w:sz w:val="18"/>
                <w:szCs w:val="18"/>
              </w:rPr>
              <w:t xml:space="preserve">Moody's (Four Twenty Seven)</w:t>
            </w:r>
          </w:p>
        </w:tc>
        <w:tc>
          <w:tcPr>
            <w:tcW w:type="dxa" w:w="4000"/>
            <w:shd w:fill="FFFFFF" w:val="clear"/>
            <w:tcMar>
              <w:top w:type="dxa" w:w="90"/>
              <w:left w:type="dxa" w:w="120"/>
              <w:bottom w:type="dxa" w:w="90"/>
              <w:right w:type="dxa" w:w="120"/>
            </w:tcMar>
          </w:tcPr>
          <w:p>
            <w:pPr>
              <w:spacing w:after="0" w:line="252"/>
            </w:pPr>
            <w:r>
              <w:rPr>
                <w:color w:val="1A1A1A"/>
                <w:sz w:val="18"/>
                <w:szCs w:val="18"/>
              </w:rPr>
              <w:t xml:space="preserve">Flood, heat, hurricane, sea level, water stress, wildfire, tied to credit assessment</w:t>
            </w:r>
          </w:p>
        </w:tc>
        <w:tc>
          <w:tcPr>
            <w:tcW w:type="dxa" w:w="3260"/>
            <w:shd w:fill="FFFFFF" w:val="clear"/>
            <w:tcMar>
              <w:top w:type="dxa" w:w="90"/>
              <w:left w:type="dxa" w:w="120"/>
              <w:bottom w:type="dxa" w:w="90"/>
              <w:right w:type="dxa" w:w="120"/>
            </w:tcMar>
          </w:tcPr>
          <w:p>
            <w:pPr>
              <w:spacing w:after="0" w:line="252"/>
            </w:pPr>
            <w:r>
              <w:rPr>
                <w:color w:val="1A1A1A"/>
                <w:sz w:val="18"/>
                <w:szCs w:val="18"/>
              </w:rPr>
              <w:t xml:space="preserve">Enterprise</w:t>
            </w:r>
          </w:p>
        </w:tc>
      </w:tr>
      <w:tr>
        <w:tc>
          <w:tcPr>
            <w:tcW w:type="dxa" w:w="2100"/>
            <w:shd w:fill="F7FAF9" w:val="clear"/>
            <w:tcMar>
              <w:top w:type="dxa" w:w="90"/>
              <w:left w:type="dxa" w:w="120"/>
              <w:bottom w:type="dxa" w:w="90"/>
              <w:right w:type="dxa" w:w="120"/>
            </w:tcMar>
          </w:tcPr>
          <w:p>
            <w:pPr>
              <w:spacing w:after="0" w:line="252"/>
            </w:pPr>
            <w:r>
              <w:rPr>
                <w:color w:val="1A1A1A"/>
                <w:sz w:val="18"/>
                <w:szCs w:val="18"/>
              </w:rPr>
              <w:t xml:space="preserve">S&amp;P Climanomics, MSCI</w:t>
            </w:r>
          </w:p>
        </w:tc>
        <w:tc>
          <w:tcPr>
            <w:tcW w:type="dxa" w:w="4000"/>
            <w:shd w:fill="F7FAF9" w:val="clear"/>
            <w:tcMar>
              <w:top w:type="dxa" w:w="90"/>
              <w:left w:type="dxa" w:w="120"/>
              <w:bottom w:type="dxa" w:w="90"/>
              <w:right w:type="dxa" w:w="120"/>
            </w:tcMar>
          </w:tcPr>
          <w:p>
            <w:pPr>
              <w:spacing w:after="0" w:line="252"/>
            </w:pPr>
            <w:r>
              <w:rPr>
                <w:color w:val="1A1A1A"/>
                <w:sz w:val="18"/>
                <w:szCs w:val="18"/>
              </w:rPr>
              <w:t xml:space="preserve">Portfolio-level financial impact for listed exposure</w:t>
            </w:r>
          </w:p>
        </w:tc>
        <w:tc>
          <w:tcPr>
            <w:tcW w:type="dxa" w:w="3260"/>
            <w:shd w:fill="F7FAF9" w:val="clear"/>
            <w:tcMar>
              <w:top w:type="dxa" w:w="90"/>
              <w:left w:type="dxa" w:w="120"/>
              <w:bottom w:type="dxa" w:w="90"/>
              <w:right w:type="dxa" w:w="120"/>
            </w:tcMar>
          </w:tcPr>
          <w:p>
            <w:pPr>
              <w:spacing w:after="0" w:line="252"/>
            </w:pPr>
            <w:r>
              <w:rPr>
                <w:color w:val="1A1A1A"/>
                <w:sz w:val="18"/>
                <w:szCs w:val="18"/>
              </w:rPr>
              <w:t xml:space="preserve">Enterprise, six figures</w:t>
            </w:r>
          </w:p>
        </w:tc>
      </w:tr>
      <w:tr>
        <w:tc>
          <w:tcPr>
            <w:tcW w:type="dxa" w:w="2100"/>
            <w:shd w:fill="FFFFFF" w:val="clear"/>
            <w:tcMar>
              <w:top w:type="dxa" w:w="90"/>
              <w:left w:type="dxa" w:w="120"/>
              <w:bottom w:type="dxa" w:w="90"/>
              <w:right w:type="dxa" w:w="120"/>
            </w:tcMar>
          </w:tcPr>
          <w:p>
            <w:pPr>
              <w:spacing w:after="0" w:line="252"/>
            </w:pPr>
            <w:r>
              <w:rPr>
                <w:color w:val="1A1A1A"/>
                <w:sz w:val="18"/>
                <w:szCs w:val="18"/>
              </w:rPr>
              <w:t xml:space="preserve">Climate X, Repath</w:t>
            </w:r>
          </w:p>
        </w:tc>
        <w:tc>
          <w:tcPr>
            <w:tcW w:type="dxa" w:w="4000"/>
            <w:shd w:fill="FFFFFF" w:val="clear"/>
            <w:tcMar>
              <w:top w:type="dxa" w:w="90"/>
              <w:left w:type="dxa" w:w="120"/>
              <w:bottom w:type="dxa" w:w="90"/>
              <w:right w:type="dxa" w:w="120"/>
            </w:tcMar>
          </w:tcPr>
          <w:p>
            <w:pPr>
              <w:spacing w:after="0" w:line="252"/>
            </w:pPr>
            <w:r>
              <w:rPr>
                <w:color w:val="1A1A1A"/>
                <w:sz w:val="18"/>
                <w:szCs w:val="18"/>
              </w:rPr>
              <w:t xml:space="preserve">Mid-market coverage with lighter commitments</w:t>
            </w:r>
          </w:p>
        </w:tc>
        <w:tc>
          <w:tcPr>
            <w:tcW w:type="dxa" w:w="3260"/>
            <w:shd w:fill="FFFFFF" w:val="clear"/>
            <w:tcMar>
              <w:top w:type="dxa" w:w="90"/>
              <w:left w:type="dxa" w:w="120"/>
              <w:bottom w:type="dxa" w:w="90"/>
              <w:right w:type="dxa" w:w="120"/>
            </w:tcMar>
          </w:tcPr>
          <w:p>
            <w:pPr>
              <w:spacing w:after="0" w:line="252"/>
            </w:pPr>
            <w:r>
              <w:rPr>
                <w:color w:val="1A1A1A"/>
                <w:sz w:val="18"/>
                <w:szCs w:val="18"/>
              </w:rPr>
              <w:t xml:space="preserve">Roughly €20k–€60k for 30–100 assets</w:t>
            </w:r>
          </w:p>
        </w:tc>
      </w:tr>
    </w:tbl>
    <w:p>
      <w:pPr>
        <w:spacing w:after="140"/>
      </w:pPr>
    </w:p>
    <w:p>
      <w:pPr>
        <w:pStyle w:val="Heading2"/>
        <w:spacing w:after="100" w:before="200"/>
      </w:pPr>
      <w:r>
        <w:rPr>
          <w:b/>
          <w:bCs/>
          <w:color w:val="1A1A1A"/>
          <w:sz w:val="23"/>
          <w:szCs w:val="23"/>
        </w:rPr>
        <w:t xml:space="preserve">Carbon accounting</w:t>
      </w:r>
    </w:p>
    <w:p>
      <w:pPr>
        <w:spacing w:after="120" w:line="276"/>
      </w:pPr>
      <w:r>
        <w:rPr>
          <w:color w:val="1A1A1A"/>
          <w:sz w:val="22"/>
          <w:szCs w:val="22"/>
        </w:rPr>
        <w:t xml:space="preserve">The AI feature gap between these has largely closed. Every serious vendor now does AI-assisted ingestion and Scope 3 estimation, so choose on organisational shape.</w:t>
      </w:r>
    </w:p>
    <w:tbl>
      <w:tblPr>
        <w:tblW w:type="dxa" w:w="9360"/>
        <w:tblBorders>
          <w:top w:val="single" w:color="C9D6D1" w:sz="4"/>
          <w:left w:val="single" w:color="C9D6D1" w:sz="4"/>
          <w:bottom w:val="single" w:color="C9D6D1" w:sz="4"/>
          <w:right w:val="single" w:color="C9D6D1" w:sz="4"/>
          <w:insideH w:val="single" w:color="C9D6D1" w:sz="4"/>
          <w:insideV w:val="single" w:color="C9D6D1" w:sz="4"/>
        </w:tblBorders>
      </w:tblPr>
      <w:tblGrid>
        <w:gridCol w:w="2100"/>
        <w:gridCol w:w="4000"/>
        <w:gridCol w:w="3260"/>
      </w:tblGrid>
      <w:tr>
        <w:trPr>
          <w:tblHeader/>
        </w:trPr>
        <w:tc>
          <w:tcPr>
            <w:tcW w:type="dxa" w:w="2100"/>
            <w:shd w:fill="EAF1EE" w:val="clear"/>
            <w:tcMar>
              <w:top w:type="dxa" w:w="90"/>
              <w:left w:type="dxa" w:w="120"/>
              <w:bottom w:type="dxa" w:w="90"/>
              <w:right w:type="dxa" w:w="120"/>
            </w:tcMar>
          </w:tcPr>
          <w:p>
            <w:pPr>
              <w:spacing w:after="0" w:line="252"/>
            </w:pPr>
            <w:r>
              <w:rPr>
                <w:b/>
                <w:bCs/>
                <w:color w:val="144035"/>
                <w:sz w:val="18"/>
                <w:szCs w:val="18"/>
              </w:rPr>
              <w:t xml:space="preserve">Platform</w:t>
            </w:r>
          </w:p>
        </w:tc>
        <w:tc>
          <w:tcPr>
            <w:tcW w:type="dxa" w:w="4000"/>
            <w:shd w:fill="EAF1EE" w:val="clear"/>
            <w:tcMar>
              <w:top w:type="dxa" w:w="90"/>
              <w:left w:type="dxa" w:w="120"/>
              <w:bottom w:type="dxa" w:w="90"/>
              <w:right w:type="dxa" w:w="120"/>
            </w:tcMar>
          </w:tcPr>
          <w:p>
            <w:pPr>
              <w:spacing w:after="0" w:line="252"/>
            </w:pPr>
            <w:r>
              <w:rPr>
                <w:b/>
                <w:bCs/>
                <w:color w:val="144035"/>
                <w:sz w:val="18"/>
                <w:szCs w:val="18"/>
              </w:rPr>
              <w:t xml:space="preserve">Best fit</w:t>
            </w:r>
          </w:p>
        </w:tc>
        <w:tc>
          <w:tcPr>
            <w:tcW w:type="dxa" w:w="3260"/>
            <w:shd w:fill="EAF1EE" w:val="clear"/>
            <w:tcMar>
              <w:top w:type="dxa" w:w="90"/>
              <w:left w:type="dxa" w:w="120"/>
              <w:bottom w:type="dxa" w:w="90"/>
              <w:right w:type="dxa" w:w="120"/>
            </w:tcMar>
          </w:tcPr>
          <w:p>
            <w:pPr>
              <w:spacing w:after="0" w:line="252"/>
            </w:pPr>
            <w:r>
              <w:rPr>
                <w:b/>
                <w:bCs/>
                <w:color w:val="144035"/>
                <w:sz w:val="18"/>
                <w:szCs w:val="18"/>
              </w:rPr>
              <w:t xml:space="preserve">Commercial shape</w:t>
            </w:r>
          </w:p>
        </w:tc>
      </w:tr>
      <w:tr>
        <w:tc>
          <w:tcPr>
            <w:tcW w:type="dxa" w:w="2100"/>
            <w:shd w:fill="FFFFFF" w:val="clear"/>
            <w:tcMar>
              <w:top w:type="dxa" w:w="90"/>
              <w:left w:type="dxa" w:w="120"/>
              <w:bottom w:type="dxa" w:w="90"/>
              <w:right w:type="dxa" w:w="120"/>
            </w:tcMar>
          </w:tcPr>
          <w:p>
            <w:pPr>
              <w:spacing w:after="0" w:line="252"/>
            </w:pPr>
            <w:r>
              <w:rPr>
                <w:color w:val="1A1A1A"/>
                <w:sz w:val="18"/>
                <w:szCs w:val="18"/>
              </w:rPr>
              <w:t xml:space="preserve">Watershed</w:t>
            </w:r>
          </w:p>
        </w:tc>
        <w:tc>
          <w:tcPr>
            <w:tcW w:type="dxa" w:w="4000"/>
            <w:shd w:fill="FFFFFF" w:val="clear"/>
            <w:tcMar>
              <w:top w:type="dxa" w:w="90"/>
              <w:left w:type="dxa" w:w="120"/>
              <w:bottom w:type="dxa" w:w="90"/>
              <w:right w:type="dxa" w:w="120"/>
            </w:tcMar>
          </w:tcPr>
          <w:p>
            <w:pPr>
              <w:spacing w:after="0" w:line="252"/>
            </w:pPr>
            <w:r>
              <w:rPr>
                <w:color w:val="1A1A1A"/>
                <w:sz w:val="18"/>
                <w:szCs w:val="18"/>
              </w:rPr>
              <w:t xml:space="preserve">Large enterprises with complex supply chains and heavy disclosure load; aligns to 10+ frameworks including CSRD, ISSB, CDP and GRI</w:t>
            </w:r>
          </w:p>
        </w:tc>
        <w:tc>
          <w:tcPr>
            <w:tcW w:type="dxa" w:w="3260"/>
            <w:shd w:fill="FFFFFF" w:val="clear"/>
            <w:tcMar>
              <w:top w:type="dxa" w:w="90"/>
              <w:left w:type="dxa" w:w="120"/>
              <w:bottom w:type="dxa" w:w="90"/>
              <w:right w:type="dxa" w:w="120"/>
            </w:tcMar>
          </w:tcPr>
          <w:p>
            <w:pPr>
              <w:spacing w:after="0" w:line="252"/>
            </w:pPr>
            <w:r>
              <w:rPr>
                <w:color w:val="1A1A1A"/>
                <w:sz w:val="18"/>
                <w:szCs w:val="18"/>
              </w:rPr>
              <w:t xml:space="preserve">Roughly $55k–$250k a year</w:t>
            </w:r>
          </w:p>
        </w:tc>
      </w:tr>
      <w:tr>
        <w:tc>
          <w:tcPr>
            <w:tcW w:type="dxa" w:w="2100"/>
            <w:shd w:fill="F7FAF9" w:val="clear"/>
            <w:tcMar>
              <w:top w:type="dxa" w:w="90"/>
              <w:left w:type="dxa" w:w="120"/>
              <w:bottom w:type="dxa" w:w="90"/>
              <w:right w:type="dxa" w:w="120"/>
            </w:tcMar>
          </w:tcPr>
          <w:p>
            <w:pPr>
              <w:spacing w:after="0" w:line="252"/>
            </w:pPr>
            <w:r>
              <w:rPr>
                <w:color w:val="1A1A1A"/>
                <w:sz w:val="18"/>
                <w:szCs w:val="18"/>
              </w:rPr>
              <w:t xml:space="preserve">Persefoni</w:t>
            </w:r>
          </w:p>
        </w:tc>
        <w:tc>
          <w:tcPr>
            <w:tcW w:type="dxa" w:w="4000"/>
            <w:shd w:fill="F7FAF9" w:val="clear"/>
            <w:tcMar>
              <w:top w:type="dxa" w:w="90"/>
              <w:left w:type="dxa" w:w="120"/>
              <w:bottom w:type="dxa" w:w="90"/>
              <w:right w:type="dxa" w:w="120"/>
            </w:tcMar>
          </w:tcPr>
          <w:p>
            <w:pPr>
              <w:spacing w:after="0" w:line="252"/>
            </w:pPr>
            <w:r>
              <w:rPr>
                <w:color w:val="1A1A1A"/>
                <w:sz w:val="18"/>
                <w:szCs w:val="18"/>
              </w:rPr>
              <w:t xml:space="preserve">Financial institutions and investor-grade reporting</w:t>
            </w:r>
          </w:p>
        </w:tc>
        <w:tc>
          <w:tcPr>
            <w:tcW w:type="dxa" w:w="3260"/>
            <w:shd w:fill="F7FAF9" w:val="clear"/>
            <w:tcMar>
              <w:top w:type="dxa" w:w="90"/>
              <w:left w:type="dxa" w:w="120"/>
              <w:bottom w:type="dxa" w:w="90"/>
              <w:right w:type="dxa" w:w="120"/>
            </w:tcMar>
          </w:tcPr>
          <w:p>
            <w:pPr>
              <w:spacing w:after="0" w:line="252"/>
            </w:pPr>
            <w:r>
              <w:rPr>
                <w:color w:val="1A1A1A"/>
                <w:sz w:val="18"/>
                <w:szCs w:val="18"/>
              </w:rPr>
              <w:t xml:space="preserve">Roughly $55k–$250k a year</w:t>
            </w:r>
          </w:p>
        </w:tc>
      </w:tr>
      <w:tr>
        <w:tc>
          <w:tcPr>
            <w:tcW w:type="dxa" w:w="2100"/>
            <w:shd w:fill="FFFFFF" w:val="clear"/>
            <w:tcMar>
              <w:top w:type="dxa" w:w="90"/>
              <w:left w:type="dxa" w:w="120"/>
              <w:bottom w:type="dxa" w:w="90"/>
              <w:right w:type="dxa" w:w="120"/>
            </w:tcMar>
          </w:tcPr>
          <w:p>
            <w:pPr>
              <w:spacing w:after="0" w:line="252"/>
            </w:pPr>
            <w:r>
              <w:rPr>
                <w:color w:val="1A1A1A"/>
                <w:sz w:val="18"/>
                <w:szCs w:val="18"/>
              </w:rPr>
              <w:t xml:space="preserve">Sweep</w:t>
            </w:r>
          </w:p>
        </w:tc>
        <w:tc>
          <w:tcPr>
            <w:tcW w:type="dxa" w:w="4000"/>
            <w:shd w:fill="FFFFFF" w:val="clear"/>
            <w:tcMar>
              <w:top w:type="dxa" w:w="90"/>
              <w:left w:type="dxa" w:w="120"/>
              <w:bottom w:type="dxa" w:w="90"/>
              <w:right w:type="dxa" w:w="120"/>
            </w:tcMar>
          </w:tcPr>
          <w:p>
            <w:pPr>
              <w:spacing w:after="0" w:line="252"/>
            </w:pPr>
            <w:r>
              <w:rPr>
                <w:color w:val="1A1A1A"/>
                <w:sz w:val="18"/>
                <w:szCs w:val="18"/>
              </w:rPr>
              <w:t xml:space="preserve">Decentralised organisations needing cross-functional accountability</w:t>
            </w:r>
          </w:p>
        </w:tc>
        <w:tc>
          <w:tcPr>
            <w:tcW w:type="dxa" w:w="3260"/>
            <w:shd w:fill="FFFFFF" w:val="clear"/>
            <w:tcMar>
              <w:top w:type="dxa" w:w="90"/>
              <w:left w:type="dxa" w:w="120"/>
              <w:bottom w:type="dxa" w:w="90"/>
              <w:right w:type="dxa" w:w="120"/>
            </w:tcMar>
          </w:tcPr>
          <w:p>
            <w:pPr>
              <w:spacing w:after="0" w:line="252"/>
            </w:pPr>
            <w:r>
              <w:rPr>
                <w:color w:val="1A1A1A"/>
                <w:sz w:val="18"/>
                <w:szCs w:val="18"/>
              </w:rPr>
              <w:t xml:space="preserve">Enterprise quote</w:t>
            </w:r>
          </w:p>
        </w:tc>
      </w:tr>
      <w:tr>
        <w:tc>
          <w:tcPr>
            <w:tcW w:type="dxa" w:w="2100"/>
            <w:shd w:fill="F7FAF9" w:val="clear"/>
            <w:tcMar>
              <w:top w:type="dxa" w:w="90"/>
              <w:left w:type="dxa" w:w="120"/>
              <w:bottom w:type="dxa" w:w="90"/>
              <w:right w:type="dxa" w:w="120"/>
            </w:tcMar>
          </w:tcPr>
          <w:p>
            <w:pPr>
              <w:spacing w:after="0" w:line="252"/>
            </w:pPr>
            <w:r>
              <w:rPr>
                <w:color w:val="1A1A1A"/>
                <w:sz w:val="18"/>
                <w:szCs w:val="18"/>
              </w:rPr>
              <w:t xml:space="preserve">IBM Envizi, Microsoft, Salesforce</w:t>
            </w:r>
          </w:p>
        </w:tc>
        <w:tc>
          <w:tcPr>
            <w:tcW w:type="dxa" w:w="4000"/>
            <w:shd w:fill="F7FAF9" w:val="clear"/>
            <w:tcMar>
              <w:top w:type="dxa" w:w="90"/>
              <w:left w:type="dxa" w:w="120"/>
              <w:bottom w:type="dxa" w:w="90"/>
              <w:right w:type="dxa" w:w="120"/>
            </w:tcMar>
          </w:tcPr>
          <w:p>
            <w:pPr>
              <w:spacing w:after="0" w:line="252"/>
            </w:pPr>
            <w:r>
              <w:rPr>
                <w:color w:val="1A1A1A"/>
                <w:sz w:val="18"/>
                <w:szCs w:val="18"/>
              </w:rPr>
              <w:t xml:space="preserve">Estates already standardised on that vendor's cloud or ERP</w:t>
            </w:r>
          </w:p>
        </w:tc>
        <w:tc>
          <w:tcPr>
            <w:tcW w:type="dxa" w:w="3260"/>
            <w:shd w:fill="F7FAF9" w:val="clear"/>
            <w:tcMar>
              <w:top w:type="dxa" w:w="90"/>
              <w:left w:type="dxa" w:w="120"/>
              <w:bottom w:type="dxa" w:w="90"/>
              <w:right w:type="dxa" w:w="120"/>
            </w:tcMar>
          </w:tcPr>
          <w:p>
            <w:pPr>
              <w:spacing w:after="0" w:line="252"/>
            </w:pPr>
            <w:r>
              <w:rPr>
                <w:color w:val="1A1A1A"/>
                <w:sz w:val="18"/>
                <w:szCs w:val="18"/>
              </w:rPr>
              <w:t xml:space="preserve">Enterprise quote</w:t>
            </w:r>
          </w:p>
        </w:tc>
      </w:tr>
    </w:tbl>
    <w:p>
      <w:pPr>
        <w:pStyle w:val="Heading1"/>
        <w:pBdr>
          <w:bottom w:val="single" w:color="C9D6D1" w:sz="6" w:space="6"/>
        </w:pBdr>
        <w:spacing w:after="140" w:before="320"/>
      </w:pPr>
      <w:r>
        <w:rPr>
          <w:b/>
          <w:bCs/>
          <w:color w:val="1F5C4D"/>
          <w:sz w:val="28"/>
          <w:szCs w:val="28"/>
        </w:rPr>
        <w:t xml:space="preserve">6.  How the layers bind</w:t>
      </w:r>
    </w:p>
    <w:p>
      <w:pPr>
        <w:spacing w:after="120" w:line="276"/>
      </w:pPr>
      <w:r>
        <w:rPr>
          <w:color w:val="1A1A1A"/>
          <w:sz w:val="22"/>
          <w:szCs w:val="22"/>
        </w:rPr>
        <w:t xml:space="preserve">The architecture that holds up in practice is thin at the engine layer and disciplined at the data layer:</w:t>
      </w:r>
    </w:p>
    <w:p>
      <w:pPr>
        <w:pStyle w:val="ListParagraph"/>
        <w:numPr>
          <w:ilvl w:val="0"/>
          <w:numId w:val="3"/>
        </w:numPr>
        <w:spacing w:after="90" w:line="276"/>
      </w:pPr>
      <w:r>
        <w:rPr>
          <w:color w:val="1A1A1A"/>
          <w:sz w:val="22"/>
          <w:szCs w:val="22"/>
        </w:rPr>
        <w:t xml:space="preserve">Licensed hazard and factor data lands in files with vintages in the filenames.</w:t>
      </w:r>
    </w:p>
    <w:p>
      <w:pPr>
        <w:pStyle w:val="ListParagraph"/>
        <w:numPr>
          <w:ilvl w:val="0"/>
          <w:numId w:val="3"/>
        </w:numPr>
        <w:spacing w:after="90" w:line="276"/>
      </w:pPr>
      <w:r>
        <w:rPr>
          <w:color w:val="1A1A1A"/>
          <w:sz w:val="22"/>
          <w:szCs w:val="22"/>
        </w:rPr>
        <w:t xml:space="preserve">Haiku 4.5 extracts structured records from client documents at volume.</w:t>
      </w:r>
    </w:p>
    <w:p>
      <w:pPr>
        <w:pStyle w:val="ListParagraph"/>
        <w:numPr>
          <w:ilvl w:val="0"/>
          <w:numId w:val="3"/>
        </w:numPr>
        <w:spacing w:after="90" w:line="276"/>
      </w:pPr>
      <w:r>
        <w:rPr>
          <w:color w:val="1A1A1A"/>
          <w:sz w:val="22"/>
          <w:szCs w:val="22"/>
        </w:rPr>
        <w:t xml:space="preserve">Scripts do the arithmetic, so it can be rerun and diffed.</w:t>
      </w:r>
    </w:p>
    <w:p>
      <w:pPr>
        <w:pStyle w:val="ListParagraph"/>
        <w:numPr>
          <w:ilvl w:val="0"/>
          <w:numId w:val="3"/>
        </w:numPr>
        <w:spacing w:after="90" w:line="276"/>
      </w:pPr>
      <w:r>
        <w:rPr>
          <w:color w:val="1A1A1A"/>
          <w:sz w:val="22"/>
          <w:szCs w:val="22"/>
        </w:rPr>
        <w:t xml:space="preserve">Opus 5 reasons over the reconciled output and drafts the narrative, citing pages.</w:t>
      </w:r>
    </w:p>
    <w:p>
      <w:pPr>
        <w:pStyle w:val="ListParagraph"/>
        <w:numPr>
          <w:ilvl w:val="0"/>
          <w:numId w:val="3"/>
        </w:numPr>
        <w:spacing w:after="90" w:line="276"/>
      </w:pPr>
      <w:r>
        <w:rPr>
          <w:color w:val="1A1A1A"/>
          <w:sz w:val="22"/>
          <w:szCs w:val="22"/>
        </w:rPr>
        <w:t xml:space="preserve">A human checks the citations and the divergence between vendors before anything ships.</w:t>
      </w:r>
    </w:p>
    <w:p>
      <w:pPr>
        <w:spacing w:after="120" w:line="276"/>
      </w:pPr>
      <w:r>
        <w:rPr>
          <w:i/>
          <w:iCs/>
          <w:color w:val="1A1A1A"/>
          <w:sz w:val="22"/>
          <w:szCs w:val="22"/>
        </w:rPr>
        <w:t xml:space="preserve">The engine never supplies a number. It reads, reasons and cites. Every figure originates in a file you licensed or measured.</w:t>
      </w:r>
    </w:p>
    <w:p>
      <w:pPr>
        <w:pStyle w:val="Heading1"/>
        <w:pBdr>
          <w:bottom w:val="single" w:color="C9D6D1" w:sz="6" w:space="6"/>
        </w:pBdr>
        <w:spacing w:after="140" w:before="320"/>
      </w:pPr>
      <w:r>
        <w:rPr>
          <w:b/>
          <w:bCs/>
          <w:color w:val="1F5C4D"/>
          <w:sz w:val="28"/>
          <w:szCs w:val="28"/>
        </w:rPr>
        <w:t xml:space="preserve">7.  A note on this recommendation</w:t>
      </w:r>
    </w:p>
    <w:p>
      <w:pPr>
        <w:spacing w:after="120" w:line="276"/>
      </w:pPr>
      <w:r>
        <w:rPr>
          <w:color w:val="1A1A1A"/>
          <w:sz w:val="22"/>
          <w:szCs w:val="22"/>
        </w:rPr>
        <w:t xml:space="preserve">I am not a neutral party on the reasoning layer, so weigh Section 3 accordingly. The criteria in Section 2 are the objective part: context window, citation anchoring, tool-use reliability and cost per document. Test any candidate engine against those four on your own documents before committing. Sections 4 and 5 are where the independent evidence sits, and that is the part of the decision I would not shortcut.</w:t>
      </w:r>
    </w:p>
    <w:p>
      <w:pPr>
        <w:pStyle w:val="Heading1"/>
        <w:pBdr>
          <w:bottom w:val="single" w:color="C9D6D1" w:sz="6" w:space="6"/>
        </w:pBdr>
        <w:spacing w:after="140" w:before="320"/>
      </w:pPr>
      <w:r>
        <w:rPr>
          <w:b/>
          <w:bCs/>
          <w:color w:val="1F5C4D"/>
          <w:sz w:val="28"/>
          <w:szCs w:val="28"/>
        </w:rPr>
        <w:t xml:space="preserve">Sources checked</w:t>
      </w:r>
    </w:p>
    <w:p>
      <w:pPr>
        <w:spacing w:after="60" w:line="252"/>
        <w:ind w:left="240" w:hanging="240"/>
      </w:pPr>
      <w:r>
        <w:rPr>
          <w:color w:val="44544F"/>
          <w:sz w:val="18"/>
          <w:szCs w:val="18"/>
        </w:rPr>
        <w:t xml:space="preserve">GARP Risk Institute, Comparing Climate Risk Vendors: A User's Guide to Physical Risk Assessments, and The Complexity Cascade — garp.org</w:t>
      </w:r>
    </w:p>
    <w:p>
      <w:pPr>
        <w:spacing w:after="60" w:line="252"/>
        <w:ind w:left="240" w:hanging="240"/>
      </w:pPr>
      <w:r>
        <w:rPr>
          <w:color w:val="44544F"/>
          <w:sz w:val="18"/>
          <w:szCs w:val="18"/>
        </w:rPr>
        <w:t xml:space="preserve">CarbonPlan, Climate risk companies don't always agree — carbonplan.org</w:t>
      </w:r>
    </w:p>
    <w:p>
      <w:pPr>
        <w:spacing w:after="60" w:line="252"/>
        <w:ind w:left="240" w:hanging="240"/>
      </w:pPr>
      <w:r>
        <w:rPr>
          <w:color w:val="44544F"/>
          <w:sz w:val="18"/>
          <w:szCs w:val="18"/>
        </w:rPr>
        <w:t xml:space="preserve">Jupiter Intelligence, ClimateScore Global product documentation — jupiterintel.com</w:t>
      </w:r>
    </w:p>
    <w:p>
      <w:pPr>
        <w:spacing w:after="60" w:line="252"/>
        <w:ind w:left="240" w:hanging="240"/>
      </w:pPr>
      <w:r>
        <w:rPr>
          <w:color w:val="44544F"/>
          <w:sz w:val="18"/>
          <w:szCs w:val="18"/>
        </w:rPr>
        <w:t xml:space="preserve">Verdantix, Smart Innovators: Physical Climate Risk Solutions — verdantix.com</w:t>
      </w:r>
    </w:p>
    <w:p>
      <w:pPr>
        <w:spacing w:after="60" w:line="252"/>
        <w:ind w:left="240" w:hanging="240"/>
      </w:pPr>
      <w:r>
        <w:rPr>
          <w:color w:val="44544F"/>
          <w:sz w:val="18"/>
          <w:szCs w:val="18"/>
        </w:rPr>
        <w:t xml:space="preserve">Persefoni, The 10 Best Carbon Accounting Software in 2026 — persefoni.com</w:t>
      </w:r>
    </w:p>
    <w:p>
      <w:pPr>
        <w:spacing w:after="60" w:line="252"/>
        <w:ind w:left="240" w:hanging="240"/>
      </w:pPr>
      <w:r>
        <w:rPr>
          <w:color w:val="44544F"/>
          <w:sz w:val="18"/>
          <w:szCs w:val="18"/>
        </w:rPr>
        <w:t xml:space="preserve">Sweep, Persefoni alternatives for carbon and ESG reporting — sweep.net</w:t>
      </w:r>
    </w:p>
    <w:p>
      <w:pPr>
        <w:spacing w:after="60" w:line="252"/>
        <w:ind w:left="240" w:hanging="240"/>
      </w:pPr>
      <w:r>
        <w:rPr>
          <w:color w:val="44544F"/>
          <w:sz w:val="18"/>
          <w:szCs w:val="18"/>
        </w:rPr>
        <w:t xml:space="preserve">Anthropic model pricing and capabilities, first-party API rates, mid-2026 — anthropic.com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abstractNum w:abstractNumId="3" w15:restartNumberingAfterBreak="0">
    <w:multiLevelType w:val="hybridMultilevel"/>
    <w:lvl w:ilvl="0" w15:tentative="1">
      <w:start w:val="1"/>
      <w:numFmt w:val="decimal"/>
      <w:lvlText w:val="%1."/>
      <w:lvlJc w:val="left"/>
      <w:pPr>
        <w:ind w:left="380" w:hanging="3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an AI Engine for Sustainability and Climate Risk</dc:title>
  <dc:creator>FIKA Labs</dc:creator>
  <dc:description>Engine, harness and data-layer selection for climate risk assessment</dc:description>
  <cp:lastModifiedBy>Un-named</cp:lastModifiedBy>
  <cp:revision>1</cp:revision>
  <dcterms:created xsi:type="dcterms:W3CDTF">2026-09-18T21:52:26.843Z</dcterms:created>
  <dcterms:modified xsi:type="dcterms:W3CDTF">2026-09-18T21:52:26.854Z</dcterms:modified>
</cp:coreProperties>
</file>

<file path=docProps/custom.xml><?xml version="1.0" encoding="utf-8"?>
<Properties xmlns="http://schemas.openxmlformats.org/officeDocument/2006/custom-properties" xmlns:vt="http://schemas.openxmlformats.org/officeDocument/2006/docPropsVTypes"/>
</file>