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32"/>
        </w:rPr>
        <w:t>DOKUMEN RENCANA PENGUJIAN (TEST PLAN)</w:t>
        <w:br/>
      </w:r>
      <w:r>
        <w:rPr>
          <w:rFonts w:ascii="Times New Roman" w:hAnsi="Times New Roman"/>
          <w:b/>
          <w:sz w:val="28"/>
        </w:rPr>
        <w:t>APPCENTER OF ZIQVA LABS</w:t>
        <w:br/>
      </w:r>
      <w:r>
        <w:rPr>
          <w:rFonts w:ascii="Times New Roman" w:hAnsi="Times New Roman"/>
          <w:i/>
          <w:sz w:val="22"/>
        </w:rPr>
        <w:t>Standar ISO/IEC/IEEE 29119-3 — Praktikum Kualitas Perangkat Lunak (PKPL)</w:t>
      </w:r>
    </w:p>
    <w:p>
      <w:pPr>
        <w:spacing w:after="120"/>
      </w:pP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Bidang</w:t>
            </w:r>
          </w:p>
        </w:tc>
        <w:tc>
          <w:tcPr>
            <w:tcW w:type="dxa" w:w="547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Detail</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Identifikasi Test Plan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TP-APPCENTER-MOD1-202310370311437</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Nama Aplikasi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AppCenter of Ziqva Labs</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Versi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2.0.0-pkpl (Branch: reborn)</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Peran yang Dipilih untuk Diuji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Member (Pengguna Terdaftar / Pembeli Lisensi)</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Nama Praktikan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Wiji Fiko Teren</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NIM</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202310370311437</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Program Studi / Fakultas</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Teknik Informatika / Fakultas Teknik UMM</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Kelas Praktikum</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Informatika AD</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Tanggal Dibuat</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02 Oktober 2026</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Tanggal Terakhir Diperbarui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02 Oktober 2026</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Status Dokumen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Final</w:t>
            </w:r>
          </w:p>
        </w:tc>
      </w:tr>
    </w:tbl>
    <w:p>
      <w:pPr>
        <w:spacing w:after="160"/>
      </w:pPr>
    </w:p>
    <w:p>
      <w:pPr>
        <w:keepNext/>
        <w:spacing w:before="240" w:after="80"/>
        <w:jc w:val="left"/>
      </w:pPr>
      <w:r>
        <w:rPr>
          <w:rFonts w:ascii="Times New Roman" w:hAnsi="Times New Roman"/>
          <w:b/>
          <w:color w:val="000000"/>
          <w:sz w:val="24"/>
        </w:rPr>
        <w:t>Riwayat Revisi</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985"/>
        <w:gridCol w:w="1985"/>
        <w:gridCol w:w="1985"/>
        <w:gridCol w:w="1985"/>
      </w:tblGrid>
      <w:tr>
        <w:trPr>
          <w:tblHeader/>
          <w:cantSplit/>
        </w:trPr>
        <w:tc>
          <w:tcPr>
            <w:tcW w:type="dxa" w:w="115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Versi</w:t>
            </w:r>
          </w:p>
        </w:tc>
        <w:tc>
          <w:tcPr>
            <w:tcW w:type="dxa" w:w="1728"/>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Tanggal Revisi</w:t>
            </w:r>
          </w:p>
        </w:tc>
        <w:tc>
          <w:tcPr>
            <w:tcW w:type="dxa" w:w="216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Diperbarui Oleh</w:t>
            </w:r>
          </w:p>
        </w:tc>
        <w:tc>
          <w:tcPr>
            <w:tcW w:type="dxa" w:w="331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Deskripsi Perubahan</w:t>
            </w:r>
          </w:p>
        </w:tc>
      </w:tr>
      <w:tr>
        <w:trPr>
          <w:cantSplit/>
        </w:trPr>
        <w:tc>
          <w:tcPr>
            <w:tcW w:type="dxa" w:w="1152"/>
            <w:tcMar>
              <w:top w:w="100" w:type="dxa"/>
              <w:bottom w:w="100" w:type="dxa"/>
              <w:left w:w="150" w:type="dxa"/>
              <w:right w:w="150" w:type="dxa"/>
            </w:tcMar>
          </w:tcPr>
          <w:p>
            <w:pPr>
              <w:spacing w:before="0" w:after="0" w:line="276" w:lineRule="auto"/>
              <w:jc w:val="left"/>
            </w:pPr>
            <w:r>
              <w:rPr>
                <w:rFonts w:ascii="Times New Roman" w:hAnsi="Times New Roman"/>
                <w:color w:val="000000"/>
                <w:sz w:val="21"/>
              </w:rPr>
              <w:t>1.0</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02 Oktober 2026</w:t>
            </w:r>
          </w:p>
        </w:tc>
        <w:tc>
          <w:tcPr>
            <w:tcW w:type="dxa" w:w="2160"/>
            <w:tcMar>
              <w:top w:w="100" w:type="dxa"/>
              <w:bottom w:w="100" w:type="dxa"/>
              <w:left w:w="150" w:type="dxa"/>
              <w:right w:w="150" w:type="dxa"/>
            </w:tcMar>
          </w:tcPr>
          <w:p>
            <w:pPr>
              <w:spacing w:before="0" w:after="0" w:line="276" w:lineRule="auto"/>
              <w:jc w:val="left"/>
            </w:pPr>
            <w:r>
              <w:rPr>
                <w:rFonts w:ascii="Times New Roman" w:hAnsi="Times New Roman"/>
                <w:color w:val="000000"/>
                <w:sz w:val="21"/>
              </w:rPr>
              <w:t>Wiji Fiko Teren</w:t>
            </w:r>
          </w:p>
        </w:tc>
        <w:tc>
          <w:tcPr>
            <w:tcW w:type="dxa" w:w="3312"/>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Penyusunan draf awal Rencana Pengujian Modul 1 berbasis standar ISO/IEC/IEEE 29119-3 untuk peran Member.</w:t>
            </w:r>
          </w:p>
        </w:tc>
      </w:tr>
    </w:tbl>
    <w:p>
      <w:pPr>
        <w:spacing w:after="160"/>
      </w:pPr>
    </w:p>
    <w:p>
      <w:pPr>
        <w:keepNext/>
        <w:spacing w:before="240" w:after="80"/>
        <w:jc w:val="left"/>
      </w:pPr>
      <w:r>
        <w:rPr>
          <w:rFonts w:ascii="Times New Roman" w:hAnsi="Times New Roman"/>
          <w:b/>
          <w:color w:val="000000"/>
          <w:sz w:val="24"/>
        </w:rPr>
        <w:t>Daftar Isi</w:t>
      </w:r>
    </w:p>
    <w:p>
      <w:pPr>
        <w:spacing w:before="0" w:after="20" w:line="276" w:lineRule="auto"/>
      </w:pPr>
      <w:r>
        <w:rPr>
          <w:rFonts w:ascii="Times New Roman" w:hAnsi="Times New Roman"/>
          <w:sz w:val="22"/>
        </w:rPr>
        <w:t>1. Konteks Pengujian                                             3</w:t>
      </w:r>
    </w:p>
    <w:p>
      <w:pPr>
        <w:spacing w:before="0" w:after="20" w:line="276" w:lineRule="auto"/>
      </w:pPr>
      <w:r>
        <w:rPr>
          <w:rFonts w:ascii="Times New Roman" w:hAnsi="Times New Roman"/>
          <w:sz w:val="22"/>
        </w:rPr>
        <w:t xml:space="preserve">   1.1 Item Uji                                                  3</w:t>
      </w:r>
    </w:p>
    <w:p>
      <w:pPr>
        <w:spacing w:before="0" w:after="20" w:line="276" w:lineRule="auto"/>
      </w:pPr>
      <w:r>
        <w:rPr>
          <w:rFonts w:ascii="Times New Roman" w:hAnsi="Times New Roman"/>
          <w:sz w:val="22"/>
        </w:rPr>
        <w:t xml:space="preserve">   1.2 Cakupan Pengujian                                         3</w:t>
      </w:r>
    </w:p>
    <w:p>
      <w:pPr>
        <w:spacing w:before="0" w:after="20" w:line="276" w:lineRule="auto"/>
      </w:pPr>
      <w:r>
        <w:rPr>
          <w:rFonts w:ascii="Times New Roman" w:hAnsi="Times New Roman"/>
          <w:sz w:val="22"/>
        </w:rPr>
        <w:t xml:space="preserve">   1.3 Peran yang Dipilih untuk Diuji                            4</w:t>
      </w:r>
    </w:p>
    <w:p>
      <w:pPr>
        <w:spacing w:before="0" w:after="20" w:line="276" w:lineRule="auto"/>
      </w:pPr>
      <w:r>
        <w:rPr>
          <w:rFonts w:ascii="Times New Roman" w:hAnsi="Times New Roman"/>
          <w:sz w:val="22"/>
        </w:rPr>
        <w:t xml:space="preserve">   1.4 Asumsi dan Batasan                                        4</w:t>
      </w:r>
    </w:p>
    <w:p>
      <w:pPr>
        <w:spacing w:before="0" w:after="20" w:line="276" w:lineRule="auto"/>
      </w:pPr>
      <w:r>
        <w:rPr>
          <w:rFonts w:ascii="Times New Roman" w:hAnsi="Times New Roman"/>
          <w:sz w:val="22"/>
        </w:rPr>
        <w:t>2. Daftar Risiko (Risk Register)                                 5</w:t>
      </w:r>
    </w:p>
    <w:p>
      <w:pPr>
        <w:spacing w:before="0" w:after="20" w:line="276" w:lineRule="auto"/>
      </w:pPr>
      <w:r>
        <w:rPr>
          <w:rFonts w:ascii="Times New Roman" w:hAnsi="Times New Roman"/>
          <w:sz w:val="22"/>
        </w:rPr>
        <w:t>3. Strategi Pengujian                                            6</w:t>
      </w:r>
    </w:p>
    <w:p>
      <w:pPr>
        <w:spacing w:before="0" w:after="20" w:line="276" w:lineRule="auto"/>
      </w:pPr>
      <w:r>
        <w:rPr>
          <w:rFonts w:ascii="Times New Roman" w:hAnsi="Times New Roman"/>
          <w:sz w:val="22"/>
        </w:rPr>
        <w:t xml:space="preserve">   3.1 Pendekatan Keseluruhan                                    6</w:t>
      </w:r>
    </w:p>
    <w:p>
      <w:pPr>
        <w:spacing w:before="0" w:after="20" w:line="276" w:lineRule="auto"/>
      </w:pPr>
      <w:r>
        <w:rPr>
          <w:rFonts w:ascii="Times New Roman" w:hAnsi="Times New Roman"/>
          <w:sz w:val="22"/>
        </w:rPr>
        <w:t xml:space="preserve">   3.2 Arah Pengujian yang Direncanakan                          6</w:t>
      </w:r>
    </w:p>
    <w:p>
      <w:pPr>
        <w:spacing w:before="0" w:after="20" w:line="276" w:lineRule="auto"/>
      </w:pPr>
      <w:r>
        <w:rPr>
          <w:rFonts w:ascii="Times New Roman" w:hAnsi="Times New Roman"/>
          <w:sz w:val="22"/>
        </w:rPr>
        <w:t xml:space="preserve">   3.3 Kriteria Pengujian                                        6</w:t>
      </w:r>
    </w:p>
    <w:p>
      <w:pPr>
        <w:spacing w:before="0" w:after="20" w:line="276" w:lineRule="auto"/>
      </w:pPr>
      <w:r>
        <w:rPr>
          <w:rFonts w:ascii="Times New Roman" w:hAnsi="Times New Roman"/>
          <w:sz w:val="22"/>
        </w:rPr>
        <w:t>4. Lingkungan Pengujian                                          7</w:t>
      </w:r>
    </w:p>
    <w:p>
      <w:pPr>
        <w:spacing w:before="0" w:after="20" w:line="276" w:lineRule="auto"/>
      </w:pPr>
      <w:r>
        <w:rPr>
          <w:rFonts w:ascii="Times New Roman" w:hAnsi="Times New Roman"/>
          <w:sz w:val="22"/>
        </w:rPr>
        <w:t xml:space="preserve">   4.1 Perangkat dan Perangkat Keras                             7</w:t>
      </w:r>
    </w:p>
    <w:p>
      <w:pPr>
        <w:spacing w:before="0" w:after="20" w:line="276" w:lineRule="auto"/>
      </w:pPr>
      <w:r>
        <w:rPr>
          <w:rFonts w:ascii="Times New Roman" w:hAnsi="Times New Roman"/>
          <w:sz w:val="22"/>
        </w:rPr>
        <w:t xml:space="preserve">   4.2 Perangkat Lunak dan Alat                                  7</w:t>
      </w:r>
    </w:p>
    <w:p>
      <w:pPr>
        <w:spacing w:before="0" w:after="20" w:line="276" w:lineRule="auto"/>
      </w:pPr>
      <w:r>
        <w:rPr>
          <w:rFonts w:ascii="Times New Roman" w:hAnsi="Times New Roman"/>
          <w:sz w:val="22"/>
        </w:rPr>
        <w:t xml:space="preserve">   4.3 Jaringan dan Backend                                      7</w:t>
      </w:r>
    </w:p>
    <w:p>
      <w:pPr>
        <w:spacing w:before="0" w:after="20" w:line="276" w:lineRule="auto"/>
      </w:pPr>
      <w:r>
        <w:rPr>
          <w:rFonts w:ascii="Times New Roman" w:hAnsi="Times New Roman"/>
          <w:sz w:val="22"/>
        </w:rPr>
        <w:t xml:space="preserve">   4.4 Data Uji                                                  7</w:t>
      </w:r>
    </w:p>
    <w:p>
      <w:pPr>
        <w:spacing w:before="0" w:after="20" w:line="276" w:lineRule="auto"/>
      </w:pPr>
      <w:r>
        <w:rPr>
          <w:rFonts w:ascii="Times New Roman" w:hAnsi="Times New Roman"/>
          <w:sz w:val="22"/>
        </w:rPr>
        <w:t>5. Jadwal Pengujian                                              8</w:t>
      </w:r>
    </w:p>
    <w:p>
      <w:pPr>
        <w:spacing w:before="0" w:after="20" w:line="276" w:lineRule="auto"/>
      </w:pPr>
      <w:r>
        <w:rPr>
          <w:rFonts w:ascii="Times New Roman" w:hAnsi="Times New Roman"/>
          <w:sz w:val="22"/>
        </w:rPr>
        <w:t>6. Luaran Pengujian                                              8</w:t>
      </w:r>
    </w:p>
    <w:p>
      <w:pPr>
        <w:spacing w:before="0" w:after="20" w:line="276" w:lineRule="auto"/>
      </w:pPr>
      <w:r>
        <w:rPr>
          <w:rFonts w:ascii="Times New Roman" w:hAnsi="Times New Roman"/>
          <w:sz w:val="22"/>
        </w:rPr>
        <w:t>Lampiran A: Glosarium (ISO 29119-1)                              9</w:t>
      </w:r>
    </w:p>
    <w:p>
      <w:r>
        <w:br w:type="page"/>
      </w:r>
    </w:p>
    <w:p>
      <w:pPr>
        <w:keepNext/>
        <w:spacing w:before="280" w:after="160"/>
        <w:jc w:val="center"/>
      </w:pPr>
      <w:r>
        <w:rPr>
          <w:rFonts w:ascii="Times New Roman" w:hAnsi="Times New Roman"/>
          <w:b/>
          <w:color w:val="000000"/>
          <w:sz w:val="28"/>
        </w:rPr>
        <w:t>1. KONTEKS PENGUJIAN</w:t>
      </w:r>
    </w:p>
    <w:p>
      <w:pPr>
        <w:spacing w:before="0" w:after="80" w:line="360" w:lineRule="auto"/>
        <w:ind w:firstLine="720"/>
        <w:jc w:val="both"/>
      </w:pPr>
      <w:r>
        <w:rPr>
          <w:rFonts w:ascii="Times New Roman" w:hAnsi="Times New Roman"/>
          <w:color w:val="000000"/>
          <w:sz w:val="24"/>
        </w:rPr>
        <w:t>Dokumen kebutuhan awal merupakan salah satu item kesiapan yang digunakan pada rangkaian praktikum pengujian perangkat lunak. Pada Modul 1, identifikasi sumber kebutuhan awal ditujukan untuk memetakan batasan operasional sistem, arsitektur dasar, dan perilaku fungsional yang disepakati untuk peran Member sebelum memasuki perancangan kasus uji mendalam pada Modul 2.</w:t>
      </w:r>
    </w:p>
    <w:p>
      <w:pPr>
        <w:keepNext/>
        <w:spacing w:before="240" w:after="80"/>
        <w:jc w:val="left"/>
      </w:pPr>
      <w:r>
        <w:rPr>
          <w:rFonts w:ascii="Times New Roman" w:hAnsi="Times New Roman"/>
          <w:b/>
          <w:color w:val="000000"/>
          <w:sz w:val="24"/>
        </w:rPr>
        <w:t>1.1 Item Uji</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Bidang</w:t>
            </w:r>
          </w:p>
        </w:tc>
        <w:tc>
          <w:tcPr>
            <w:tcW w:type="dxa" w:w="547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Deskripsi</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Nama Aplikasi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AppCenter of Ziqva Labs</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Platform</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Web Application (Single Page Application terintegrasi REST API)</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Versi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2.0.0-pkpl (Branch: reborn)</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URL Deployment / Akses</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http://localhost:4829 (Akses Lokal Port Tunggal) / https://appcenter.ziqva.com</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Tumpukan Teknologi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Svelte 4.2, TypeScript, Express 5, Prisma ORM 6.19.3, MySQL 8.0, Vite 6, Tailwind CSS</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Deskripsi Singkat</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AppCenter of Ziqva Labs merupakan platform portal distribusi software digital, manajemen lisensi berbasis perangkat keras (Hardware ID / HWID), pemrosesan transaksi otomatis multi-gateway, dan portal kemitraan afiliasi.</w:t>
            </w:r>
          </w:p>
        </w:tc>
      </w:tr>
    </w:tbl>
    <w:p>
      <w:pPr>
        <w:keepNext/>
        <w:spacing w:before="240" w:after="80"/>
        <w:jc w:val="left"/>
      </w:pPr>
      <w:r>
        <w:rPr>
          <w:rFonts w:ascii="Times New Roman" w:hAnsi="Times New Roman"/>
          <w:b/>
          <w:color w:val="000000"/>
          <w:sz w:val="24"/>
        </w:rPr>
        <w:t>1.2 Cakupan Pengujian</w:t>
      </w:r>
    </w:p>
    <w:p>
      <w:pPr>
        <w:keepNext/>
        <w:spacing w:before="160" w:after="40"/>
        <w:jc w:val="left"/>
      </w:pPr>
      <w:r>
        <w:rPr>
          <w:rFonts w:ascii="Times New Roman" w:hAnsi="Times New Roman"/>
          <w:b/>
          <w:i/>
          <w:color w:val="000000"/>
          <w:sz w:val="24"/>
        </w:rPr>
        <w:t>Fitur dalam Cakupan (In-Scope)</w:t>
      </w:r>
    </w:p>
    <w:p>
      <w:pPr>
        <w:spacing w:before="0" w:after="80" w:line="360" w:lineRule="auto"/>
        <w:jc w:val="both"/>
      </w:pPr>
      <w:r>
        <w:rPr>
          <w:rFonts w:ascii="Times New Roman" w:hAnsi="Times New Roman"/>
          <w:color w:val="000000"/>
          <w:sz w:val="24"/>
        </w:rPr>
        <w:t>Pengujian difokuskan secara menyeluruh pada peran Member dengan total 8 fitur yang mencakup 3 fitur autentikasi wajib dan 5 fitur operasional tambahan:</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985"/>
        <w:gridCol w:w="1985"/>
        <w:gridCol w:w="1985"/>
        <w:gridCol w:w="1985"/>
      </w:tblGrid>
      <w:tr>
        <w:trPr>
          <w:tblHeader/>
          <w:cantSplit/>
        </w:trPr>
        <w:tc>
          <w:tcPr>
            <w:tcW w:type="dxa" w:w="57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No.</w:t>
            </w:r>
          </w:p>
        </w:tc>
        <w:tc>
          <w:tcPr>
            <w:tcW w:type="dxa" w:w="2304"/>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Nama Fitur</w:t>
            </w:r>
          </w:p>
        </w:tc>
        <w:tc>
          <w:tcPr>
            <w:tcW w:type="dxa" w:w="201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Jenis Fitur</w:t>
            </w:r>
          </w:p>
        </w:tc>
        <w:tc>
          <w:tcPr>
            <w:tcW w:type="dxa" w:w="345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Deskripsi Singkat</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1</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Login Member</w:t>
            </w:r>
          </w:p>
        </w:tc>
        <w:tc>
          <w:tcPr>
            <w:tcW w:type="dxa" w:w="2016"/>
            <w:tcMar>
              <w:top w:w="100" w:type="dxa"/>
              <w:bottom w:w="100" w:type="dxa"/>
              <w:left w:w="150" w:type="dxa"/>
              <w:right w:w="150" w:type="dxa"/>
            </w:tcMar>
          </w:tcPr>
          <w:p>
            <w:pPr>
              <w:spacing w:before="0" w:after="0" w:line="276" w:lineRule="auto"/>
              <w:jc w:val="left"/>
            </w:pPr>
            <w:r>
              <w:rPr>
                <w:rFonts w:ascii="Times New Roman" w:hAnsi="Times New Roman"/>
                <w:color w:val="000000"/>
                <w:sz w:val="21"/>
              </w:rPr>
              <w:t>Fitur Autentikasi</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Autentikasi kredensial email dan password pengguna terdaftar dengan mekanisme proteksi rate limiting berbasis IP untuk mitigasi brute force.</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2</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Register Member</w:t>
            </w:r>
          </w:p>
        </w:tc>
        <w:tc>
          <w:tcPr>
            <w:tcW w:type="dxa" w:w="2016"/>
            <w:tcMar>
              <w:top w:w="100" w:type="dxa"/>
              <w:bottom w:w="100" w:type="dxa"/>
              <w:left w:w="150" w:type="dxa"/>
              <w:right w:w="150" w:type="dxa"/>
            </w:tcMar>
          </w:tcPr>
          <w:p>
            <w:pPr>
              <w:spacing w:before="0" w:after="0" w:line="276" w:lineRule="auto"/>
              <w:jc w:val="left"/>
            </w:pPr>
            <w:r>
              <w:rPr>
                <w:rFonts w:ascii="Times New Roman" w:hAnsi="Times New Roman"/>
                <w:color w:val="000000"/>
                <w:sz w:val="21"/>
              </w:rPr>
              <w:t>Fitur Autentikasi</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Pendaftaran akun pengguna baru dengan validasi keunikan format email, verifikasi panjang kata sandi minimal 6 karakter, dan inisialisasi profil pengguna.</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3</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Forgot Password</w:t>
            </w:r>
          </w:p>
        </w:tc>
        <w:tc>
          <w:tcPr>
            <w:tcW w:type="dxa" w:w="2016"/>
            <w:tcMar>
              <w:top w:w="100" w:type="dxa"/>
              <w:bottom w:w="100" w:type="dxa"/>
              <w:left w:w="150" w:type="dxa"/>
              <w:right w:w="150" w:type="dxa"/>
            </w:tcMar>
          </w:tcPr>
          <w:p>
            <w:pPr>
              <w:spacing w:before="0" w:after="0" w:line="276" w:lineRule="auto"/>
              <w:jc w:val="left"/>
            </w:pPr>
            <w:r>
              <w:rPr>
                <w:rFonts w:ascii="Times New Roman" w:hAnsi="Times New Roman"/>
                <w:color w:val="000000"/>
                <w:sz w:val="21"/>
              </w:rPr>
              <w:t>Fitur Autentikasi</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Pengiriman token pemulihan kata sandi menuju alamat email terdaftar untuk mengatur ulang kata sandi akun yang terlupakan.</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4</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Order &amp; Checkout Produk</w:t>
            </w:r>
          </w:p>
        </w:tc>
        <w:tc>
          <w:tcPr>
            <w:tcW w:type="dxa" w:w="2016"/>
            <w:tcMar>
              <w:top w:w="100" w:type="dxa"/>
              <w:bottom w:w="100" w:type="dxa"/>
              <w:left w:w="150" w:type="dxa"/>
              <w:right w:w="150" w:type="dxa"/>
            </w:tcMar>
          </w:tcPr>
          <w:p>
            <w:pPr>
              <w:spacing w:before="0" w:after="0" w:line="276" w:lineRule="auto"/>
              <w:jc w:val="left"/>
            </w:pPr>
            <w:r>
              <w:rPr>
                <w:rFonts w:ascii="Times New Roman" w:hAnsi="Times New Roman"/>
                <w:color w:val="000000"/>
                <w:sz w:val="21"/>
              </w:rPr>
              <w:t>Fitur Tambahan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Penelusuran katalog produk, pemilihan lisensi aplikasi, penerapan voucher kupon diskon, kalkulasi nominal tagihan, dan pembuatan invoice multi-channel (GoQRIS / Xendit).</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5</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Manajemen Lisensi &amp; Rebind HWID</w:t>
            </w:r>
          </w:p>
        </w:tc>
        <w:tc>
          <w:tcPr>
            <w:tcW w:type="dxa" w:w="2016"/>
            <w:tcMar>
              <w:top w:w="100" w:type="dxa"/>
              <w:bottom w:w="100" w:type="dxa"/>
              <w:left w:w="150" w:type="dxa"/>
              <w:right w:w="150" w:type="dxa"/>
            </w:tcMar>
          </w:tcPr>
          <w:p>
            <w:pPr>
              <w:spacing w:before="0" w:after="0" w:line="276" w:lineRule="auto"/>
              <w:jc w:val="left"/>
            </w:pPr>
            <w:r>
              <w:rPr>
                <w:rFonts w:ascii="Times New Roman" w:hAnsi="Times New Roman"/>
                <w:color w:val="000000"/>
                <w:sz w:val="21"/>
              </w:rPr>
              <w:t>Fitur Tambahan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Monitoring status lisensi aktif, pengikatan identitas mesin perangkat (Machine ID / HWID), serta eksekusi pelepasan lisensi (unbind/rebind) saat pengguna berpindah perangkat kerja.</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6</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Software Download Center</w:t>
            </w:r>
          </w:p>
        </w:tc>
        <w:tc>
          <w:tcPr>
            <w:tcW w:type="dxa" w:w="2016"/>
            <w:tcMar>
              <w:top w:w="100" w:type="dxa"/>
              <w:bottom w:w="100" w:type="dxa"/>
              <w:left w:w="150" w:type="dxa"/>
              <w:right w:w="150" w:type="dxa"/>
            </w:tcMar>
          </w:tcPr>
          <w:p>
            <w:pPr>
              <w:spacing w:before="0" w:after="0" w:line="276" w:lineRule="auto"/>
              <w:jc w:val="left"/>
            </w:pPr>
            <w:r>
              <w:rPr>
                <w:rFonts w:ascii="Times New Roman" w:hAnsi="Times New Roman"/>
                <w:color w:val="000000"/>
                <w:sz w:val="21"/>
              </w:rPr>
              <w:t>Fitur Tambahan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Akses repositori berkas binary installer aplikasi yang diamankan dengan validasi status lisensi aktif dan token unduhan temporer.</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7</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Portal Afiliasi &amp; Payout</w:t>
            </w:r>
          </w:p>
        </w:tc>
        <w:tc>
          <w:tcPr>
            <w:tcW w:type="dxa" w:w="2016"/>
            <w:tcMar>
              <w:top w:w="100" w:type="dxa"/>
              <w:bottom w:w="100" w:type="dxa"/>
              <w:left w:w="150" w:type="dxa"/>
              <w:right w:w="150" w:type="dxa"/>
            </w:tcMar>
          </w:tcPr>
          <w:p>
            <w:pPr>
              <w:spacing w:before="0" w:after="0" w:line="276" w:lineRule="auto"/>
              <w:jc w:val="left"/>
            </w:pPr>
            <w:r>
              <w:rPr>
                <w:rFonts w:ascii="Times New Roman" w:hAnsi="Times New Roman"/>
                <w:color w:val="000000"/>
                <w:sz w:val="21"/>
              </w:rPr>
              <w:t>Fitur Tambahan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Pelacakan statistik konversi tautan referensi mitra, pemantauan saldo komisi penjualan, pencatatan rekening penarikan bank/e-wallet, serta pengajuan pencairan dana (payout request).</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8</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Tutorial Hub &amp; Video Player</w:t>
            </w:r>
          </w:p>
        </w:tc>
        <w:tc>
          <w:tcPr>
            <w:tcW w:type="dxa" w:w="2016"/>
            <w:tcMar>
              <w:top w:w="100" w:type="dxa"/>
              <w:bottom w:w="100" w:type="dxa"/>
              <w:left w:w="150" w:type="dxa"/>
              <w:right w:w="150" w:type="dxa"/>
            </w:tcMar>
          </w:tcPr>
          <w:p>
            <w:pPr>
              <w:spacing w:before="0" w:after="0" w:line="276" w:lineRule="auto"/>
              <w:jc w:val="left"/>
            </w:pPr>
            <w:r>
              <w:rPr>
                <w:rFonts w:ascii="Times New Roman" w:hAnsi="Times New Roman"/>
                <w:color w:val="000000"/>
                <w:sz w:val="21"/>
              </w:rPr>
              <w:t>Fitur Tambahan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Akses repositori materi dokumentasi penggunaan software, filtering materi berdasarkan kategori aplikasi, dan pemutaran video panduan pada modal terintegrasi.</w:t>
            </w:r>
          </w:p>
        </w:tc>
      </w:tr>
    </w:tbl>
    <w:p>
      <w:pPr>
        <w:keepNext/>
        <w:spacing w:before="160" w:after="40"/>
        <w:jc w:val="left"/>
      </w:pPr>
      <w:r>
        <w:rPr>
          <w:rFonts w:ascii="Times New Roman" w:hAnsi="Times New Roman"/>
          <w:b/>
          <w:i/>
          <w:color w:val="000000"/>
          <w:sz w:val="24"/>
        </w:rPr>
        <w:t>Di Luar Cakupan (Out-of-Scope)</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647"/>
        <w:gridCol w:w="2647"/>
        <w:gridCol w:w="2647"/>
      </w:tblGrid>
      <w:tr>
        <w:trPr>
          <w:tblHeader/>
          <w:cantSplit/>
        </w:trPr>
        <w:tc>
          <w:tcPr>
            <w:tcW w:type="dxa" w:w="57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No.</w:t>
            </w:r>
          </w:p>
        </w:tc>
        <w:tc>
          <w:tcPr>
            <w:tcW w:type="dxa" w:w="345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Fitur / Aspek</w:t>
            </w:r>
          </w:p>
        </w:tc>
        <w:tc>
          <w:tcPr>
            <w:tcW w:type="dxa" w:w="432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Alasan Pengecualian</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1</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Manajemen Master Produk oleh Administrator</w:t>
            </w:r>
          </w:p>
        </w:tc>
        <w:tc>
          <w:tcPr>
            <w:tcW w:type="dxa" w:w="43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Berada di luar batasan hak akses peran Member; fitur dikhususkan untuk peran Administrator dengan otorisasi PIN keamanan terpisah.</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2</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Konfigurasi Server SFTP &amp; Backup Database Otomatis</w:t>
            </w:r>
          </w:p>
        </w:tc>
        <w:tc>
          <w:tcPr>
            <w:tcW w:type="dxa" w:w="43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Aspek operasional infrastruktur sistem internal backend yang tidak memiliki interaksi antarmuka langsung dengan peran Member.</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3</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Persetujuan Pencairan Dana (Payout Approval) oleh Admin</w:t>
            </w:r>
          </w:p>
        </w:tc>
        <w:tc>
          <w:tcPr>
            <w:tcW w:type="dxa" w:w="43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Alur kerja persetujuan mutasi saldo berada pada kewenangan administrator keuangan, pengujian peran Member hanya mencakup tahapan pengajuan pencairan.</w:t>
            </w:r>
          </w:p>
        </w:tc>
      </w:tr>
      <w:tr>
        <w:trPr>
          <w:cantSplit/>
        </w:trPr>
        <w:tc>
          <w:tcPr>
            <w:tcW w:type="dxa" w:w="576"/>
            <w:tcMar>
              <w:top w:w="100" w:type="dxa"/>
              <w:bottom w:w="100" w:type="dxa"/>
              <w:left w:w="150" w:type="dxa"/>
              <w:right w:w="150" w:type="dxa"/>
            </w:tcMar>
          </w:tcPr>
          <w:p>
            <w:pPr>
              <w:spacing w:before="0" w:after="0" w:line="276" w:lineRule="auto"/>
              <w:jc w:val="left"/>
            </w:pPr>
            <w:r>
              <w:rPr>
                <w:rFonts w:ascii="Times New Roman" w:hAnsi="Times New Roman"/>
                <w:color w:val="000000"/>
                <w:sz w:val="21"/>
              </w:rPr>
              <w:t>4</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Pengujian Beban Skala Besar (Load Testing &gt; 10.000 RPS)</w:t>
            </w:r>
          </w:p>
        </w:tc>
        <w:tc>
          <w:tcPr>
            <w:tcW w:type="dxa" w:w="43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Di luar cakupan pengujian fungsional dasar Modul 1; pengujian kinerja non-fungsional dijadwalkan pada modul tingkat lanjut.</w:t>
            </w:r>
          </w:p>
        </w:tc>
      </w:tr>
    </w:tbl>
    <w:p>
      <w:pPr>
        <w:keepNext/>
        <w:spacing w:before="240" w:after="80"/>
        <w:jc w:val="left"/>
      </w:pPr>
      <w:r>
        <w:rPr>
          <w:rFonts w:ascii="Times New Roman" w:hAnsi="Times New Roman"/>
          <w:b/>
          <w:color w:val="000000"/>
          <w:sz w:val="24"/>
        </w:rPr>
        <w:t>1.3 Peran yang Dipilih untuk Diuji</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Bidang</w:t>
            </w:r>
          </w:p>
        </w:tc>
        <w:tc>
          <w:tcPr>
            <w:tcW w:type="dxa" w:w="547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Detail</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Nama Peran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Member (Pelanggan / Pengguna Terdaftar)</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Deskripsi Peran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Pengguna yang memiliki akun terdaftar pada sistem, bertindak sebagai pembeli software, pemilik lisensi resmi, pengunduh binary aplikasi, dan mitra penerima komisi program afiliasi.</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Fitur yang Dapat Diakses</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Login, Register, Forgot Password, Dashboard Pengguna, Katalog Pembelian, Riwayat Transaksi &amp; Pembayaran, Manajemen Lisensi &amp; Rebind HWID, Download Center, Portal Afiliasi &amp; Permintaan Payout, serta Tutorial Hub.</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Alasan Pemilihan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Peran Member merepresentasikan alur bisnis utama (core business value) platform AppCenter. Seluruh siklus transaksi, validasi lisensi kriptografis, dan retensi pengguna berpusat pada peran ini sehingga menyediakan variasi skenario fungsional yang kaya untuk seluruh rangkaian praktikum PKPL.</w:t>
            </w:r>
          </w:p>
        </w:tc>
      </w:tr>
    </w:tbl>
    <w:p>
      <w:pPr>
        <w:keepNext/>
        <w:spacing w:before="240" w:after="80"/>
        <w:jc w:val="left"/>
      </w:pPr>
      <w:r>
        <w:rPr>
          <w:rFonts w:ascii="Times New Roman" w:hAnsi="Times New Roman"/>
          <w:b/>
          <w:color w:val="000000"/>
          <w:sz w:val="24"/>
        </w:rPr>
        <w:t>1.4 Asumsi dan Batasan</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01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Jenis</w:t>
            </w:r>
          </w:p>
        </w:tc>
        <w:tc>
          <w:tcPr>
            <w:tcW w:type="dxa" w:w="633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Deskripsi</w:t>
            </w:r>
          </w:p>
        </w:tc>
      </w:tr>
      <w:tr>
        <w:trPr>
          <w:cantSplit/>
        </w:trPr>
        <w:tc>
          <w:tcPr>
            <w:tcW w:type="dxa" w:w="2016"/>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Asumsi</w:t>
            </w:r>
          </w:p>
        </w:tc>
        <w:tc>
          <w:tcPr>
            <w:tcW w:type="dxa" w:w="6336"/>
            <w:tcMar>
              <w:top w:w="100" w:type="dxa"/>
              <w:bottom w:w="100" w:type="dxa"/>
              <w:left w:w="150" w:type="dxa"/>
              <w:right w:w="150" w:type="dxa"/>
            </w:tcMar>
          </w:tcPr>
          <w:p>
            <w:pPr>
              <w:spacing w:before="0" w:after="0" w:line="276" w:lineRule="auto"/>
              <w:jc w:val="left"/>
            </w:pPr>
            <w:r>
              <w:rPr>
                <w:rFonts w:ascii="Times New Roman" w:hAnsi="Times New Roman"/>
                <w:color w:val="000000"/>
                <w:sz w:val="21"/>
              </w:rPr>
              <w:t>Seluruh dependensi aplikasi monorepo (Express, Svelte, Prisma) berjalan normal pada lingkungan pengujian lokal port 4829.</w:t>
            </w:r>
          </w:p>
        </w:tc>
      </w:tr>
      <w:tr>
        <w:trPr>
          <w:cantSplit/>
        </w:trPr>
        <w:tc>
          <w:tcPr>
            <w:tcW w:type="dxa" w:w="2016"/>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Asumsi</w:t>
            </w:r>
          </w:p>
        </w:tc>
        <w:tc>
          <w:tcPr>
            <w:tcW w:type="dxa" w:w="633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Basis data MySQL lokal (ziqva_labs) telah terisi skema database dan data awalan produk untuk mendukung alur pemesanan.</w:t>
            </w:r>
          </w:p>
        </w:tc>
      </w:tr>
      <w:tr>
        <w:trPr>
          <w:cantSplit/>
        </w:trPr>
        <w:tc>
          <w:tcPr>
            <w:tcW w:type="dxa" w:w="2016"/>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Asumsi</w:t>
            </w:r>
          </w:p>
        </w:tc>
        <w:tc>
          <w:tcPr>
            <w:tcW w:type="dxa" w:w="6336"/>
            <w:tcMar>
              <w:top w:w="100" w:type="dxa"/>
              <w:bottom w:w="100" w:type="dxa"/>
              <w:left w:w="150" w:type="dxa"/>
              <w:right w:w="150" w:type="dxa"/>
            </w:tcMar>
          </w:tcPr>
          <w:p>
            <w:pPr>
              <w:spacing w:before="0" w:after="0" w:line="276" w:lineRule="auto"/>
              <w:jc w:val="left"/>
            </w:pPr>
            <w:r>
              <w:rPr>
                <w:rFonts w:ascii="Times New Roman" w:hAnsi="Times New Roman"/>
                <w:color w:val="000000"/>
                <w:sz w:val="21"/>
              </w:rPr>
              <w:t>Simulator / sandbox payment gateway (GoQRIS &amp; Xendit) dapat merespons pembuatan tagihan uji secara deterministik.</w:t>
            </w:r>
          </w:p>
        </w:tc>
      </w:tr>
      <w:tr>
        <w:trPr>
          <w:cantSplit/>
        </w:trPr>
        <w:tc>
          <w:tcPr>
            <w:tcW w:type="dxa" w:w="2016"/>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Batasan</w:t>
            </w:r>
          </w:p>
        </w:tc>
        <w:tc>
          <w:tcPr>
            <w:tcW w:type="dxa" w:w="6336"/>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Pengujian fungsional dibatasi secara eksklusif pada antarmuka dan API yang memiliki hak otorisasi peran Member.</w:t>
            </w:r>
          </w:p>
        </w:tc>
      </w:tr>
      <w:tr>
        <w:trPr>
          <w:cantSplit/>
        </w:trPr>
        <w:tc>
          <w:tcPr>
            <w:tcW w:type="dxa" w:w="2016"/>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Batasan</w:t>
            </w:r>
          </w:p>
        </w:tc>
        <w:tc>
          <w:tcPr>
            <w:tcW w:type="dxa" w:w="6336"/>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Pengujian tidak menyentuh database produksi dan tidak melakukan transaksi finansial riil menggunakan dana perbankan aktual.</w:t>
            </w:r>
          </w:p>
        </w:tc>
      </w:tr>
      <w:tr>
        <w:trPr>
          <w:cantSplit/>
        </w:trPr>
        <w:tc>
          <w:tcPr>
            <w:tcW w:type="dxa" w:w="2016"/>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Batasan</w:t>
            </w:r>
          </w:p>
        </w:tc>
        <w:tc>
          <w:tcPr>
            <w:tcW w:type="dxa" w:w="6336"/>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Pengiriman surat elektronik (email verifikasi dan reset password) menggunakan konfigurasi Mailtrap/SMTP staging lokal.</w:t>
            </w:r>
          </w:p>
        </w:tc>
      </w:tr>
    </w:tbl>
    <w:p>
      <w:r>
        <w:br w:type="page"/>
      </w:r>
    </w:p>
    <w:p>
      <w:pPr>
        <w:keepNext/>
        <w:spacing w:before="280" w:after="160"/>
        <w:jc w:val="center"/>
      </w:pPr>
      <w:r>
        <w:rPr>
          <w:rFonts w:ascii="Times New Roman" w:hAnsi="Times New Roman"/>
          <w:b/>
          <w:color w:val="000000"/>
          <w:sz w:val="28"/>
        </w:rPr>
        <w:t>2. DAFTAR RISIKO (RISK REGISTER)</w:t>
      </w:r>
    </w:p>
    <w:p>
      <w:pPr>
        <w:spacing w:before="0" w:after="80" w:line="360" w:lineRule="auto"/>
        <w:ind w:firstLine="720"/>
        <w:jc w:val="both"/>
      </w:pPr>
      <w:r>
        <w:rPr>
          <w:rFonts w:ascii="Times New Roman" w:hAnsi="Times New Roman"/>
          <w:color w:val="000000"/>
          <w:sz w:val="24"/>
        </w:rPr>
        <w:t>Matriks risiko disusun untuk mengidentifikasi potensi kegagalan fungsional produk maupun kendala operasional pengujian. Nilai Prioritas dihitung menggunakan formula baku:</w:t>
      </w:r>
    </w:p>
    <w:p>
      <w:pPr>
        <w:spacing w:before="0" w:after="80" w:line="360" w:lineRule="auto"/>
        <w:jc w:val="both"/>
      </w:pPr>
      <w:r>
        <w:rPr>
          <w:rFonts w:ascii="Times New Roman" w:hAnsi="Times New Roman"/>
          <w:color w:val="000000"/>
          <w:sz w:val="24"/>
        </w:rPr>
        <w:t>Prioritas = Dampak × Kemungkinan</w:t>
      </w:r>
    </w:p>
    <w:p>
      <w:pPr>
        <w:spacing w:before="0" w:after="80" w:line="360" w:lineRule="auto"/>
        <w:jc w:val="both"/>
      </w:pPr>
      <w:r>
        <w:rPr>
          <w:rFonts w:ascii="Times New Roman" w:hAnsi="Times New Roman"/>
          <w:color w:val="000000"/>
          <w:sz w:val="24"/>
        </w:rPr>
        <w:t>Rentang skala penilaian menggunakan nilai 1 (Sangat Rendah) hingga 5 (Sangat Tinggi).</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134"/>
        <w:gridCol w:w="1134"/>
        <w:gridCol w:w="1134"/>
        <w:gridCol w:w="1134"/>
        <w:gridCol w:w="1134"/>
        <w:gridCol w:w="1134"/>
        <w:gridCol w:w="1134"/>
      </w:tblGrid>
      <w:tr>
        <w:trPr>
          <w:tblHeader/>
          <w:cantSplit/>
        </w:trPr>
        <w:tc>
          <w:tcPr>
            <w:tcW w:type="dxa" w:w="864"/>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ID Risiko</w:t>
            </w:r>
          </w:p>
        </w:tc>
        <w:tc>
          <w:tcPr>
            <w:tcW w:type="dxa" w:w="259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Deskripsi Risiko</w:t>
            </w:r>
          </w:p>
        </w:tc>
        <w:tc>
          <w:tcPr>
            <w:tcW w:type="dxa" w:w="115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Jenis</w:t>
            </w:r>
          </w:p>
        </w:tc>
        <w:tc>
          <w:tcPr>
            <w:tcW w:type="dxa" w:w="72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Dampak (1-5)</w:t>
            </w:r>
          </w:p>
        </w:tc>
        <w:tc>
          <w:tcPr>
            <w:tcW w:type="dxa" w:w="864"/>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Kemungkinan (1-5)</w:t>
            </w:r>
          </w:p>
        </w:tc>
        <w:tc>
          <w:tcPr>
            <w:tcW w:type="dxa" w:w="72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Prioritas</w:t>
            </w:r>
          </w:p>
        </w:tc>
        <w:tc>
          <w:tcPr>
            <w:tcW w:type="dxa" w:w="2304"/>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Strategi Mitigasi</w:t>
            </w:r>
          </w:p>
        </w:tc>
      </w:tr>
      <w:tr>
        <w:trPr>
          <w:cantSplit/>
        </w:trPr>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R-01</w:t>
            </w:r>
          </w:p>
        </w:tc>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Kegagalan validasi Machine ID (HWID) saat pengguna melakukan aktivasi atau migrasi lisensi perangkat baru, menyebabkan software tidak dapat digunakan pembeli.</w:t>
            </w:r>
          </w:p>
        </w:tc>
        <w:tc>
          <w:tcPr>
            <w:tcW w:type="dxa" w:w="1152"/>
            <w:tcMar>
              <w:top w:w="100" w:type="dxa"/>
              <w:bottom w:w="100" w:type="dxa"/>
              <w:left w:w="150" w:type="dxa"/>
              <w:right w:w="150" w:type="dxa"/>
            </w:tcMar>
          </w:tcPr>
          <w:p>
            <w:pPr>
              <w:spacing w:before="0" w:after="0" w:line="276" w:lineRule="auto"/>
              <w:jc w:val="left"/>
            </w:pPr>
            <w:r>
              <w:rPr>
                <w:rFonts w:ascii="Times New Roman" w:hAnsi="Times New Roman"/>
                <w:color w:val="000000"/>
                <w:sz w:val="21"/>
              </w:rPr>
              <w:t>Risiko Produk</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5</w:t>
            </w:r>
          </w:p>
        </w:tc>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2</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10</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Menyusun skenario pengujian ketat terkait format string HWID, validasi limit perangkat maksimal, dan mekanisme unbind lisensi sebelum aktivasi ulang.</w:t>
            </w:r>
          </w:p>
        </w:tc>
      </w:tr>
      <w:tr>
        <w:trPr>
          <w:cantSplit/>
        </w:trPr>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R-02</w:t>
            </w:r>
          </w:p>
        </w:tc>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Keterlambatan atau kegagalan penerimaan notifikasi webhook dari penyedia payment gateway saat status pembayaran invoice berhasil, mengakibatkan lisensi tidak terbit otomatis.</w:t>
            </w:r>
          </w:p>
        </w:tc>
        <w:tc>
          <w:tcPr>
            <w:tcW w:type="dxa" w:w="1152"/>
            <w:tcMar>
              <w:top w:w="100" w:type="dxa"/>
              <w:bottom w:w="100" w:type="dxa"/>
              <w:left w:w="150" w:type="dxa"/>
              <w:right w:w="150" w:type="dxa"/>
            </w:tcMar>
          </w:tcPr>
          <w:p>
            <w:pPr>
              <w:spacing w:before="0" w:after="0" w:line="276" w:lineRule="auto"/>
              <w:jc w:val="left"/>
            </w:pPr>
            <w:r>
              <w:rPr>
                <w:rFonts w:ascii="Times New Roman" w:hAnsi="Times New Roman"/>
                <w:color w:val="000000"/>
                <w:sz w:val="21"/>
              </w:rPr>
              <w:t>Risiko Produk</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5</w:t>
            </w:r>
          </w:p>
        </w:tc>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2</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10</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Menyiapkan pengujian integrasi callback webhook payment gateway dengan verifikasi signature kriptografis dan mekanisme polling status invoice fallback.</w:t>
            </w:r>
          </w:p>
        </w:tc>
      </w:tr>
      <w:tr>
        <w:trPr>
          <w:cantSplit/>
        </w:trPr>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R-03</w:t>
            </w:r>
          </w:p>
        </w:tc>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Akses tidak sah terhadap tautan unduhan binary software oleh pengguna non-pembeli akibat kelemahan validasi sesi pada endpoint file storage.</w:t>
            </w:r>
          </w:p>
        </w:tc>
        <w:tc>
          <w:tcPr>
            <w:tcW w:type="dxa" w:w="1152"/>
            <w:tcMar>
              <w:top w:w="100" w:type="dxa"/>
              <w:bottom w:w="100" w:type="dxa"/>
              <w:left w:w="150" w:type="dxa"/>
              <w:right w:w="150" w:type="dxa"/>
            </w:tcMar>
          </w:tcPr>
          <w:p>
            <w:pPr>
              <w:spacing w:before="0" w:after="0" w:line="276" w:lineRule="auto"/>
              <w:jc w:val="left"/>
            </w:pPr>
            <w:r>
              <w:rPr>
                <w:rFonts w:ascii="Times New Roman" w:hAnsi="Times New Roman"/>
                <w:color w:val="000000"/>
                <w:sz w:val="21"/>
              </w:rPr>
              <w:t>Risiko Produk</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4</w:t>
            </w:r>
          </w:p>
        </w:tc>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2</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8</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Menerapkan pengujian pengamanan URL unduhan menggunakan token temporer terenkripsi yang memvalidasi kepemilikan lisensi aktif pada database.</w:t>
            </w:r>
          </w:p>
        </w:tc>
      </w:tr>
      <w:tr>
        <w:trPr>
          <w:cantSplit/>
        </w:trPr>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R-04</w:t>
            </w:r>
          </w:p>
        </w:tc>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Ketergantungan terhadap koneksi internet eksternal saat memanggil API sandbox pihak ketiga (SMTP Email &amp; Payment Gateway) pada pengujian lokal.</w:t>
            </w:r>
          </w:p>
        </w:tc>
        <w:tc>
          <w:tcPr>
            <w:tcW w:type="dxa" w:w="1152"/>
            <w:tcMar>
              <w:top w:w="100" w:type="dxa"/>
              <w:bottom w:w="100" w:type="dxa"/>
              <w:left w:w="150" w:type="dxa"/>
              <w:right w:w="150" w:type="dxa"/>
            </w:tcMar>
          </w:tcPr>
          <w:p>
            <w:pPr>
              <w:spacing w:before="0" w:after="0" w:line="276" w:lineRule="auto"/>
              <w:jc w:val="left"/>
            </w:pPr>
            <w:r>
              <w:rPr>
                <w:rFonts w:ascii="Times New Roman" w:hAnsi="Times New Roman"/>
                <w:color w:val="000000"/>
                <w:sz w:val="21"/>
              </w:rPr>
              <w:t>Risiko Proyek</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4</w:t>
            </w:r>
          </w:p>
        </w:tc>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2</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8</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Mengonfigurasi mock service lokal dan penyediaan rute simulasi callback pembayaran internal untuk isolasi pengujian tanpa konektivitas luar.</w:t>
            </w:r>
          </w:p>
        </w:tc>
      </w:tr>
      <w:tr>
        <w:trPr>
          <w:cantSplit/>
        </w:trPr>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R-05</w:t>
            </w:r>
          </w:p>
        </w:tc>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Inkonsistensi perhitungan saldo komisi referral afiliasi saat terjadi pembatalan transaksi order atau pengajuan payout simultan.</w:t>
            </w:r>
          </w:p>
        </w:tc>
        <w:tc>
          <w:tcPr>
            <w:tcW w:type="dxa" w:w="1152"/>
            <w:tcMar>
              <w:top w:w="100" w:type="dxa"/>
              <w:bottom w:w="100" w:type="dxa"/>
              <w:left w:w="150" w:type="dxa"/>
              <w:right w:w="150" w:type="dxa"/>
            </w:tcMar>
          </w:tcPr>
          <w:p>
            <w:pPr>
              <w:spacing w:before="0" w:after="0" w:line="276" w:lineRule="auto"/>
              <w:jc w:val="left"/>
            </w:pPr>
            <w:r>
              <w:rPr>
                <w:rFonts w:ascii="Times New Roman" w:hAnsi="Times New Roman"/>
                <w:color w:val="000000"/>
                <w:sz w:val="21"/>
              </w:rPr>
              <w:t>Risiko Produk</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4</w:t>
            </w:r>
          </w:p>
        </w:tc>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2</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8</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Menguji transaksi basis data menggunakan isolasi transaksi Prisma ORM dan verifikasi mutasi debit-kredit saldo secara atomik.</w:t>
            </w:r>
          </w:p>
        </w:tc>
      </w:tr>
      <w:tr>
        <w:trPr>
          <w:cantSplit/>
        </w:trPr>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R-06</w:t>
            </w:r>
          </w:p>
        </w:tc>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Penguncian akun (account lockout) atau pemblokiran IP palsu (false positive) pada pengguna sah akibat ambang batas rate limiter yang terlalu sensitif.</w:t>
            </w:r>
          </w:p>
        </w:tc>
        <w:tc>
          <w:tcPr>
            <w:tcW w:type="dxa" w:w="1152"/>
            <w:tcMar>
              <w:top w:w="100" w:type="dxa"/>
              <w:bottom w:w="100" w:type="dxa"/>
              <w:left w:w="150" w:type="dxa"/>
              <w:right w:w="150" w:type="dxa"/>
            </w:tcMar>
          </w:tcPr>
          <w:p>
            <w:pPr>
              <w:spacing w:before="0" w:after="0" w:line="276" w:lineRule="auto"/>
              <w:jc w:val="left"/>
            </w:pPr>
            <w:r>
              <w:rPr>
                <w:rFonts w:ascii="Times New Roman" w:hAnsi="Times New Roman"/>
                <w:color w:val="000000"/>
                <w:sz w:val="21"/>
              </w:rPr>
              <w:t>Risiko Produk</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3</w:t>
            </w:r>
          </w:p>
        </w:tc>
        <w:tc>
          <w:tcPr>
            <w:tcW w:type="dxa" w:w="864"/>
            <w:tcMar>
              <w:top w:w="100" w:type="dxa"/>
              <w:bottom w:w="100" w:type="dxa"/>
              <w:left w:w="150" w:type="dxa"/>
              <w:right w:w="150" w:type="dxa"/>
            </w:tcMar>
          </w:tcPr>
          <w:p>
            <w:pPr>
              <w:spacing w:before="0" w:after="0" w:line="276" w:lineRule="auto"/>
              <w:jc w:val="left"/>
            </w:pPr>
            <w:r>
              <w:rPr>
                <w:rFonts w:ascii="Times New Roman" w:hAnsi="Times New Roman"/>
                <w:color w:val="000000"/>
                <w:sz w:val="21"/>
              </w:rPr>
              <w:t>2</w:t>
            </w:r>
          </w:p>
        </w:tc>
        <w:tc>
          <w:tcPr>
            <w:tcW w:type="dxa" w:w="720"/>
            <w:tcMar>
              <w:top w:w="100" w:type="dxa"/>
              <w:bottom w:w="100" w:type="dxa"/>
              <w:left w:w="150" w:type="dxa"/>
              <w:right w:w="150" w:type="dxa"/>
            </w:tcMar>
          </w:tcPr>
          <w:p>
            <w:pPr>
              <w:spacing w:before="0" w:after="0" w:line="276" w:lineRule="auto"/>
              <w:jc w:val="left"/>
            </w:pPr>
            <w:r>
              <w:rPr>
                <w:rFonts w:ascii="Times New Roman" w:hAnsi="Times New Roman"/>
                <w:color w:val="000000"/>
                <w:sz w:val="21"/>
              </w:rPr>
              <w:t>6</w:t>
            </w:r>
          </w:p>
        </w:tc>
        <w:tc>
          <w:tcPr>
            <w:tcW w:type="dxa" w:w="2304"/>
            <w:tcMar>
              <w:top w:w="100" w:type="dxa"/>
              <w:bottom w:w="100" w:type="dxa"/>
              <w:left w:w="150" w:type="dxa"/>
              <w:right w:w="150" w:type="dxa"/>
            </w:tcMar>
          </w:tcPr>
          <w:p>
            <w:pPr>
              <w:spacing w:before="0" w:after="0" w:line="276" w:lineRule="auto"/>
              <w:jc w:val="left"/>
            </w:pPr>
            <w:r>
              <w:rPr>
                <w:rFonts w:ascii="Times New Roman" w:hAnsi="Times New Roman"/>
                <w:color w:val="000000"/>
                <w:sz w:val="21"/>
              </w:rPr>
              <w:t>Menguji toleransi batasan frekuensi request pada modul securityRateLimiter dan memverifikasi fungsionalitas bypass IP whitelist lokal pengujian.</w:t>
            </w:r>
          </w:p>
        </w:tc>
      </w:tr>
    </w:tbl>
    <w:p>
      <w:r>
        <w:br w:type="page"/>
      </w:r>
    </w:p>
    <w:p>
      <w:pPr>
        <w:keepNext/>
        <w:spacing w:before="280" w:after="160"/>
        <w:jc w:val="center"/>
      </w:pPr>
      <w:r>
        <w:rPr>
          <w:rFonts w:ascii="Times New Roman" w:hAnsi="Times New Roman"/>
          <w:b/>
          <w:color w:val="000000"/>
          <w:sz w:val="28"/>
        </w:rPr>
        <w:t>3. STRATEGI PENGUJIAN</w:t>
      </w:r>
    </w:p>
    <w:p>
      <w:pPr>
        <w:keepNext/>
        <w:spacing w:before="240" w:after="80"/>
        <w:jc w:val="left"/>
      </w:pPr>
      <w:r>
        <w:rPr>
          <w:rFonts w:ascii="Times New Roman" w:hAnsi="Times New Roman"/>
          <w:b/>
          <w:color w:val="000000"/>
          <w:sz w:val="24"/>
        </w:rPr>
        <w:t>3.1 Pendekatan Keseluruhan</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Bidang</w:t>
            </w:r>
          </w:p>
        </w:tc>
        <w:tc>
          <w:tcPr>
            <w:tcW w:type="dxa" w:w="547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Deskripsi</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Pendekatan Pengujian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 dilengkapi pada modul berikutnya.</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Tingkat Pengujian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Pengujian Tingkat Sistem (System Testing).</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Jenis Pengujian Utama</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Pengujian Fungsional (Functional Testing).</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Fitur Berprioritas Tinggi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Manajemen Lisensi &amp; Rebind HWID (R-01), Order &amp; Checkout Produk Digital (R-02), dan Software Download Center (R-03).</w:t>
            </w:r>
          </w:p>
        </w:tc>
      </w:tr>
    </w:tbl>
    <w:p>
      <w:pPr>
        <w:keepNext/>
        <w:spacing w:before="240" w:after="80"/>
        <w:jc w:val="left"/>
      </w:pPr>
      <w:r>
        <w:rPr>
          <w:rFonts w:ascii="Times New Roman" w:hAnsi="Times New Roman"/>
          <w:b/>
          <w:color w:val="000000"/>
          <w:sz w:val="24"/>
        </w:rPr>
        <w:t>3.2 Arah Pengujian yang Direncanakan</w:t>
      </w:r>
    </w:p>
    <w:p>
      <w:pPr>
        <w:spacing w:before="0" w:after="80" w:line="360" w:lineRule="auto"/>
        <w:ind w:firstLine="720"/>
        <w:jc w:val="both"/>
      </w:pPr>
      <w:r>
        <w:rPr>
          <w:rFonts w:ascii="Times New Roman" w:hAnsi="Times New Roman"/>
          <w:color w:val="000000"/>
          <w:sz w:val="24"/>
        </w:rPr>
        <w:t>Pada Modul 1, arah dan teknik pengujian belum perlu ditentukan. Bagian ini dilengkapi secara bertahap setelah materi terkait dipelajari pada modul berikutnya.</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647"/>
        <w:gridCol w:w="2647"/>
        <w:gridCol w:w="2647"/>
      </w:tblGrid>
      <w:tr>
        <w:trPr>
          <w:tblHeader/>
          <w:cantSplit/>
        </w:trPr>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Aspek</w:t>
            </w:r>
          </w:p>
        </w:tc>
        <w:tc>
          <w:tcPr>
            <w:tcW w:type="dxa" w:w="201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Status</w:t>
            </w:r>
          </w:p>
        </w:tc>
        <w:tc>
          <w:tcPr>
            <w:tcW w:type="dxa" w:w="345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Catatan</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Arah dan Teknik Pengujian</w:t>
            </w:r>
          </w:p>
        </w:tc>
        <w:tc>
          <w:tcPr>
            <w:tcW w:type="dxa" w:w="201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Dilengkapi setelah materi terkait dipelajari pada modul berikutnya.</w:t>
            </w:r>
          </w:p>
        </w:tc>
      </w:tr>
    </w:tbl>
    <w:p>
      <w:pPr>
        <w:keepNext/>
        <w:spacing w:before="240" w:after="80"/>
        <w:jc w:val="left"/>
      </w:pPr>
      <w:r>
        <w:rPr>
          <w:rFonts w:ascii="Times New Roman" w:hAnsi="Times New Roman"/>
          <w:b/>
          <w:color w:val="000000"/>
          <w:sz w:val="24"/>
        </w:rPr>
        <w:t>3.3 Kriteria Pengujian</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59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Jenis Kriteria</w:t>
            </w:r>
          </w:p>
        </w:tc>
        <w:tc>
          <w:tcPr>
            <w:tcW w:type="dxa" w:w="576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Deskripsi</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Kriteria Masuk (Entry Criteria)</w:t>
            </w:r>
          </w:p>
        </w:tc>
        <w:tc>
          <w:tcPr>
            <w:tcW w:type="dxa" w:w="5760"/>
            <w:tcMar>
              <w:top w:w="100" w:type="dxa"/>
              <w:bottom w:w="100" w:type="dxa"/>
              <w:left w:w="150" w:type="dxa"/>
              <w:right w:w="150" w:type="dxa"/>
            </w:tcMar>
          </w:tcPr>
          <w:p>
            <w:pPr>
              <w:spacing w:before="0" w:after="0" w:line="276" w:lineRule="auto"/>
              <w:jc w:val="left"/>
            </w:pPr>
            <w:r>
              <w:rPr>
                <w:rFonts w:ascii="Times New Roman" w:hAnsi="Times New Roman"/>
                <w:color w:val="000000"/>
                <w:sz w:val="21"/>
              </w:rPr>
              <w:t>1. Lingkungan server Express dan klien Svelte berjalan stabil pada port 4829 tanpa galat kompilasi.</w:t>
              <w:br/>
              <w:t>2. Basis data MySQL lokal telah terhubung dan memiliki skema tabel terverifikasi melalui Prisma.</w:t>
              <w:br/>
              <w:t>3. Tersedia akun uji Member aktif dan data master katalog produk siap transaksi.</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Kriteria Keluar (Exit Criteria)</w:t>
            </w:r>
          </w:p>
        </w:tc>
        <w:tc>
          <w:tcPr>
            <w:tcW w:type="dxa" w:w="5760"/>
            <w:tcMar>
              <w:top w:w="100" w:type="dxa"/>
              <w:bottom w:w="100" w:type="dxa"/>
              <w:left w:w="150" w:type="dxa"/>
              <w:right w:w="150" w:type="dxa"/>
            </w:tcMar>
          </w:tcPr>
          <w:p>
            <w:pPr>
              <w:spacing w:before="0" w:after="0" w:line="276" w:lineRule="auto"/>
              <w:jc w:val="left"/>
            </w:pPr>
            <w:r>
              <w:rPr>
                <w:rFonts w:ascii="Times New Roman" w:hAnsi="Times New Roman"/>
                <w:color w:val="000000"/>
                <w:sz w:val="21"/>
              </w:rPr>
              <w:t>1. Seluruh skenario pengujian fungsional peran Member yang direncanakan telah dieksekusi 100%.</w:t>
              <w:br/>
              <w:t>2. Tidak ditemukan cacat perangkat lunak berstatus kritis (severity blocker / critical) pada fitur utama.</w:t>
              <w:br/>
              <w:t>3. Seluruh bukti pengujian (test log dan tangkapan layar antarmuka) terdokumentasi lengkap.</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Kriteria Lolos (Pass Criteria)</w:t>
            </w:r>
          </w:p>
        </w:tc>
        <w:tc>
          <w:tcPr>
            <w:tcW w:type="dxa" w:w="5760"/>
            <w:tcMar>
              <w:top w:w="100" w:type="dxa"/>
              <w:bottom w:w="100" w:type="dxa"/>
              <w:left w:w="150" w:type="dxa"/>
              <w:right w:w="150" w:type="dxa"/>
            </w:tcMar>
          </w:tcPr>
          <w:p>
            <w:pPr>
              <w:spacing w:before="0" w:after="0" w:line="276" w:lineRule="auto"/>
              <w:jc w:val="left"/>
            </w:pPr>
            <w:r>
              <w:rPr>
                <w:rFonts w:ascii="Times New Roman" w:hAnsi="Times New Roman"/>
                <w:color w:val="000000"/>
                <w:sz w:val="21"/>
              </w:rPr>
              <w:t>Hasil aktual interaksi aplikasi dan respons API bersesuaian tepat dengan perilaku yang diharapkan (expected result) pada spesifikasi fungsional.</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Kriteria Gagal (Fail Criteria)</w:t>
            </w:r>
          </w:p>
        </w:tc>
        <w:tc>
          <w:tcPr>
            <w:tcW w:type="dxa" w:w="5760"/>
            <w:tcMar>
              <w:top w:w="100" w:type="dxa"/>
              <w:bottom w:w="100" w:type="dxa"/>
              <w:left w:w="150" w:type="dxa"/>
              <w:right w:w="150" w:type="dxa"/>
            </w:tcMar>
          </w:tcPr>
          <w:p>
            <w:pPr>
              <w:spacing w:before="0" w:after="0" w:line="276" w:lineRule="auto"/>
              <w:jc w:val="left"/>
            </w:pPr>
            <w:r>
              <w:rPr>
                <w:rFonts w:ascii="Times New Roman" w:hAnsi="Times New Roman"/>
                <w:color w:val="000000"/>
                <w:sz w:val="21"/>
              </w:rPr>
              <w:t>Hasil aktual menyimpang dari perilaku yang diharapkan, antarmuka mengalami pembekuan (freeze), terjadi unhandled exception 500, atau lisensi gagal terbit setelah pembayaran valid.</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Pengujian Ulang (Retesting)</w:t>
            </w:r>
          </w:p>
        </w:tc>
        <w:tc>
          <w:tcPr>
            <w:tcW w:type="dxa" w:w="5760"/>
            <w:tcMar>
              <w:top w:w="100" w:type="dxa"/>
              <w:bottom w:w="100" w:type="dxa"/>
              <w:left w:w="150" w:type="dxa"/>
              <w:right w:w="150" w:type="dxa"/>
            </w:tcMar>
          </w:tcPr>
          <w:p>
            <w:pPr>
              <w:spacing w:before="0" w:after="0" w:line="276" w:lineRule="auto"/>
              <w:jc w:val="left"/>
            </w:pPr>
            <w:r>
              <w:rPr>
                <w:rFonts w:ascii="Times New Roman" w:hAnsi="Times New Roman"/>
                <w:color w:val="000000"/>
                <w:sz w:val="21"/>
              </w:rPr>
              <w:t>Eksekusi ulang secara spesifik terhadap kasus uji yang sebelumnya gagal setelah perbaikan kode sumber diterapkan oleh pengembang.</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Pengujian Regresi (Regression Testing)</w:t>
            </w:r>
          </w:p>
        </w:tc>
        <w:tc>
          <w:tcPr>
            <w:tcW w:type="dxa" w:w="5760"/>
            <w:tcMar>
              <w:top w:w="100" w:type="dxa"/>
              <w:bottom w:w="100" w:type="dxa"/>
              <w:left w:w="150" w:type="dxa"/>
              <w:right w:w="150" w:type="dxa"/>
            </w:tcMar>
          </w:tcPr>
          <w:p>
            <w:pPr>
              <w:spacing w:before="0" w:after="0" w:line="276" w:lineRule="auto"/>
              <w:jc w:val="left"/>
            </w:pPr>
            <w:r>
              <w:rPr>
                <w:rFonts w:ascii="Times New Roman" w:hAnsi="Times New Roman"/>
                <w:color w:val="000000"/>
                <w:sz w:val="21"/>
              </w:rPr>
              <w:t>Eksekusi rangkaian uji pada modul terkait untuk memastikan perbaikan cacat tidak menimbulkan efek samping atau kerusakan pada fungsionalitas lain yang sebelumnya berjalan normal.</w:t>
            </w:r>
          </w:p>
        </w:tc>
      </w:tr>
    </w:tbl>
    <w:p>
      <w:r>
        <w:br w:type="page"/>
      </w:r>
    </w:p>
    <w:p>
      <w:pPr>
        <w:keepNext/>
        <w:spacing w:before="280" w:after="160"/>
        <w:jc w:val="center"/>
      </w:pPr>
      <w:r>
        <w:rPr>
          <w:rFonts w:ascii="Times New Roman" w:hAnsi="Times New Roman"/>
          <w:b/>
          <w:color w:val="000000"/>
          <w:sz w:val="28"/>
        </w:rPr>
        <w:t>4. LINGKUNGAN PENGUJIAN</w:t>
      </w:r>
    </w:p>
    <w:p>
      <w:pPr>
        <w:keepNext/>
        <w:spacing w:before="240" w:after="80"/>
        <w:jc w:val="left"/>
      </w:pPr>
      <w:r>
        <w:rPr>
          <w:rFonts w:ascii="Times New Roman" w:hAnsi="Times New Roman"/>
          <w:b/>
          <w:color w:val="000000"/>
          <w:sz w:val="24"/>
        </w:rPr>
        <w:t>4.1 Perangkat dan Perangkat Keras</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Item</w:t>
            </w:r>
          </w:p>
        </w:tc>
        <w:tc>
          <w:tcPr>
            <w:tcW w:type="dxa" w:w="547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Detail</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Jenis Perangkat</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Laptop (Apple Silicon Workstation)</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Processor</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Apple M-Series Chip (ARM64 Architecture)</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RAM</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16 GB Unified Memory</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Sistem Operasi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macOS Sequoia (Version 15.x / Darwin Kernel)</w:t>
            </w:r>
          </w:p>
        </w:tc>
      </w:tr>
    </w:tbl>
    <w:p>
      <w:pPr>
        <w:keepNext/>
        <w:spacing w:before="240" w:after="80"/>
        <w:jc w:val="left"/>
      </w:pPr>
      <w:r>
        <w:rPr>
          <w:rFonts w:ascii="Times New Roman" w:hAnsi="Times New Roman"/>
          <w:b/>
          <w:color w:val="000000"/>
          <w:sz w:val="24"/>
        </w:rPr>
        <w:t>4.2 Perangkat Lunak dan Alat</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647"/>
        <w:gridCol w:w="2647"/>
        <w:gridCol w:w="2647"/>
      </w:tblGrid>
      <w:tr>
        <w:trPr>
          <w:tblHeader/>
          <w:cantSplit/>
        </w:trPr>
        <w:tc>
          <w:tcPr>
            <w:tcW w:type="dxa" w:w="259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Alat / Perangkat Lunak</w:t>
            </w:r>
          </w:p>
        </w:tc>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Versi / Detail</w:t>
            </w:r>
          </w:p>
        </w:tc>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Tujuan</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Web Browser</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Google Chrome Versi 128+ / Chromium</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Media eksekusi pengujian antarmuka pengguna (UI)</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Runtime &amp; Package Manager</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Node.js v20.x LTS, pnpm v9.x, ts-node</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Lingkungan eksekusi server backend dan dependensi</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Database Server</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MySQL Community Server 8.0 / MariaDB</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Penyimpanan basis data relasional sistem lokal</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Database Management Client</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Prisma Studio / DBeaver / TablePlus</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Inspeksi struktur tabel dan verifikasi integritas data</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Alat Dokumentasi</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Microsoft Word (.docx), VS Code, Markdown</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Penyusunan laporan Test Plan dan matriks penelusuran</w:t>
            </w:r>
          </w:p>
        </w:tc>
      </w:tr>
      <w:tr>
        <w:trPr>
          <w:cantSplit/>
        </w:trPr>
        <w:tc>
          <w:tcPr>
            <w:tcW w:type="dxa" w:w="2592"/>
            <w:tcMar>
              <w:top w:w="100" w:type="dxa"/>
              <w:bottom w:w="100" w:type="dxa"/>
              <w:left w:w="150" w:type="dxa"/>
              <w:right w:w="150" w:type="dxa"/>
            </w:tcMar>
          </w:tcPr>
          <w:p>
            <w:pPr>
              <w:spacing w:before="0" w:after="0" w:line="276" w:lineRule="auto"/>
              <w:jc w:val="left"/>
            </w:pPr>
            <w:r>
              <w:rPr>
                <w:rFonts w:ascii="Times New Roman" w:hAnsi="Times New Roman"/>
                <w:color w:val="000000"/>
                <w:sz w:val="21"/>
              </w:rPr>
              <w:t>Alat Tangkapan Layar &amp; Log</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macOS Native Screenshot Tool / CleanShot X</w:t>
            </w:r>
          </w:p>
        </w:tc>
        <w:tc>
          <w:tcPr>
            <w:tcW w:type="dxa" w:w="2880"/>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Perekaman bukti eksekusi pengujian (evidence capture)</w:t>
            </w:r>
          </w:p>
        </w:tc>
      </w:tr>
    </w:tbl>
    <w:p>
      <w:pPr>
        <w:keepNext/>
        <w:spacing w:before="240" w:after="80"/>
        <w:jc w:val="left"/>
      </w:pPr>
      <w:r>
        <w:rPr>
          <w:rFonts w:ascii="Times New Roman" w:hAnsi="Times New Roman"/>
          <w:b/>
          <w:color w:val="000000"/>
          <w:sz w:val="24"/>
        </w:rPr>
        <w:t>4.3 Jaringan dan Backend</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Item</w:t>
            </w:r>
          </w:p>
        </w:tc>
        <w:tc>
          <w:tcPr>
            <w:tcW w:type="dxa" w:w="547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Detail</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Jaringan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Localhost Loopback Network (127.0.0.1) &amp; Koneksi Wi-Fi Berkecepatan Stabil</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Backend / API</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Express.js 5 RESTful API terintegrasi Prisma Client</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URL Dasar Pengujian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http://localhost:4829 (Klien Svelte SPA &amp; Rute REST API Terpadu)</w:t>
            </w:r>
          </w:p>
        </w:tc>
      </w:tr>
    </w:tbl>
    <w:p>
      <w:pPr>
        <w:keepNext/>
        <w:spacing w:before="240" w:after="80"/>
        <w:jc w:val="left"/>
      </w:pPr>
      <w:r>
        <w:rPr>
          <w:rFonts w:ascii="Times New Roman" w:hAnsi="Times New Roman"/>
          <w:b/>
          <w:color w:val="000000"/>
          <w:sz w:val="24"/>
        </w:rPr>
        <w:t>4.4 Data Uji</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Jenis Data</w:t>
            </w:r>
          </w:p>
        </w:tc>
        <w:tc>
          <w:tcPr>
            <w:tcW w:type="dxa" w:w="547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Deskripsi</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Akun Uji Valid</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Akun Member terdaftar: testuser@ziqva.com dengan kata sandi valid Password123!.</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Akun Uji Tidak Valid</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1. Email belum terdaftar: unregistered_user@example.com.</w:t>
              <w:br/>
              <w:t>2. Format email salah: invalid-email-format.</w:t>
              <w:br/>
              <w:t>3. Kata sandi salah atau tidak memenuhi batas minimal 6 karakter.</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Contoh Data Input</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1. String Machine ID (HWID): BFEBFBFF000906EA-UUID-7729-AZ.</w:t>
              <w:br/>
              <w:t>2. Kode Kupon Diskon: PROMOHEMAT10.</w:t>
              <w:br/>
              <w:t>3. Data Rekening Penarikan Afiliasi: Bank BCA, Nomor Rekening 8735091234, Nama Pemilik Wiji Fiko Teren.</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Data Uji Tambahan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 dilengkapi pada modul berikutnya sesuai kebutuhan teknik pengujian dinamis.</w:t>
            </w:r>
          </w:p>
        </w:tc>
      </w:tr>
    </w:tbl>
    <w:p>
      <w:r>
        <w:br w:type="page"/>
      </w:r>
    </w:p>
    <w:p>
      <w:pPr>
        <w:keepNext/>
        <w:spacing w:before="280" w:after="160"/>
        <w:jc w:val="center"/>
      </w:pPr>
      <w:r>
        <w:rPr>
          <w:rFonts w:ascii="Times New Roman" w:hAnsi="Times New Roman"/>
          <w:b/>
          <w:color w:val="000000"/>
          <w:sz w:val="28"/>
        </w:rPr>
        <w:t>5. JADWAL PENGUJIAN</w:t>
      </w:r>
    </w:p>
    <w:p>
      <w:pPr>
        <w:spacing w:before="0" w:after="80" w:line="360" w:lineRule="auto"/>
        <w:ind w:firstLine="720"/>
        <w:jc w:val="both"/>
      </w:pPr>
      <w:r>
        <w:rPr>
          <w:rFonts w:ascii="Times New Roman" w:hAnsi="Times New Roman"/>
          <w:color w:val="000000"/>
          <w:sz w:val="24"/>
        </w:rPr>
        <w:t>Pada Modul 1, isi hanya jadwal dan luaran yang memang ditetapkan untuk Modul 1. Detail Modul 2 sampai Modul 6 dan UAP tetap berupa placeholder sampai modul terkait dibahas dan ditetapkan.</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985"/>
        <w:gridCol w:w="1985"/>
        <w:gridCol w:w="1985"/>
        <w:gridCol w:w="1985"/>
      </w:tblGrid>
      <w:tr>
        <w:trPr>
          <w:tblHeader/>
          <w:cantSplit/>
        </w:trPr>
        <w:tc>
          <w:tcPr>
            <w:tcW w:type="dxa" w:w="144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Modul</w:t>
            </w:r>
          </w:p>
        </w:tc>
        <w:tc>
          <w:tcPr>
            <w:tcW w:type="dxa" w:w="3168"/>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Aktivitas Pengujian Utama</w:t>
            </w:r>
          </w:p>
        </w:tc>
        <w:tc>
          <w:tcPr>
            <w:tcW w:type="dxa" w:w="1728"/>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Perkiraan Waktu</w:t>
            </w:r>
          </w:p>
        </w:tc>
        <w:tc>
          <w:tcPr>
            <w:tcW w:type="dxa" w:w="345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Luaran Utama</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1</w:t>
            </w:r>
          </w:p>
        </w:tc>
        <w:tc>
          <w:tcPr>
            <w:tcW w:type="dxa" w:w="3168"/>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Perencanaan pengujian, analisis risiko perangkat lunak, dan registrasi proyek studi kasus</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Minggu 1 - 2</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Dokumen Test Plan resmi dan entri lembar registrasi proyek terverifikasi (13/13 TRUE)</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2</w:t>
            </w:r>
          </w:p>
        </w:tc>
        <w:tc>
          <w:tcPr>
            <w:tcW w:type="dxa" w:w="316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3</w:t>
            </w:r>
          </w:p>
        </w:tc>
        <w:tc>
          <w:tcPr>
            <w:tcW w:type="dxa" w:w="316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4</w:t>
            </w:r>
          </w:p>
        </w:tc>
        <w:tc>
          <w:tcPr>
            <w:tcW w:type="dxa" w:w="316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5</w:t>
            </w:r>
          </w:p>
        </w:tc>
        <w:tc>
          <w:tcPr>
            <w:tcW w:type="dxa" w:w="316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6</w:t>
            </w:r>
          </w:p>
        </w:tc>
        <w:tc>
          <w:tcPr>
            <w:tcW w:type="dxa" w:w="316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UAP</w:t>
            </w:r>
          </w:p>
        </w:tc>
        <w:tc>
          <w:tcPr>
            <w:tcW w:type="dxa" w:w="316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bl>
    <w:p>
      <w:pPr>
        <w:spacing w:after="160"/>
      </w:pPr>
    </w:p>
    <w:p>
      <w:pPr>
        <w:keepNext/>
        <w:spacing w:before="280" w:after="160"/>
        <w:jc w:val="center"/>
      </w:pPr>
      <w:r>
        <w:rPr>
          <w:rFonts w:ascii="Times New Roman" w:hAnsi="Times New Roman"/>
          <w:b/>
          <w:color w:val="000000"/>
          <w:sz w:val="28"/>
        </w:rPr>
        <w:t>6. LUARAN PENGUJIAN</w:t>
      </w:r>
    </w:p>
    <w:p>
      <w:pPr>
        <w:spacing w:before="0" w:after="80" w:line="360" w:lineRule="auto"/>
        <w:ind w:firstLine="720"/>
        <w:jc w:val="both"/>
      </w:pPr>
      <w:r>
        <w:rPr>
          <w:rFonts w:ascii="Times New Roman" w:hAnsi="Times New Roman"/>
          <w:color w:val="000000"/>
          <w:sz w:val="24"/>
        </w:rPr>
        <w:t>Pada Modul 1, luaran yang perlu diselesaikan adalah dokumen Test Plan dan entri registrasi proyek. Luaran, format, dan status untuk Modul 2 sampai Modul 6 serta UAP belum ditetapkan pada dokumen ini.</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985"/>
        <w:gridCol w:w="1985"/>
        <w:gridCol w:w="1985"/>
        <w:gridCol w:w="1985"/>
      </w:tblGrid>
      <w:tr>
        <w:trPr>
          <w:tblHeader/>
          <w:cantSplit/>
        </w:trPr>
        <w:tc>
          <w:tcPr>
            <w:tcW w:type="dxa" w:w="144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Modul</w:t>
            </w:r>
          </w:p>
        </w:tc>
        <w:tc>
          <w:tcPr>
            <w:tcW w:type="dxa" w:w="3456"/>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Luaran</w:t>
            </w:r>
          </w:p>
        </w:tc>
        <w:tc>
          <w:tcPr>
            <w:tcW w:type="dxa" w:w="1728"/>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Format</w:t>
            </w:r>
          </w:p>
        </w:tc>
        <w:tc>
          <w:tcPr>
            <w:tcW w:type="dxa" w:w="1728"/>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Status</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1</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Dokumen Rencana Pengujian (Test Plan Document)</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DOCX / PDF</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Selesai</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1</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Entri Lembar Registrasi Proyek Praktikum</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Spreadsheet</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Selesai</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2</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3</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4</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5</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Modul 6</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r>
        <w:trPr>
          <w:cantSplit/>
        </w:trPr>
        <w:tc>
          <w:tcPr>
            <w:tcW w:type="dxa" w:w="1440"/>
            <w:tcMar>
              <w:top w:w="100" w:type="dxa"/>
              <w:bottom w:w="100" w:type="dxa"/>
              <w:left w:w="150" w:type="dxa"/>
              <w:right w:w="150" w:type="dxa"/>
            </w:tcMar>
          </w:tcPr>
          <w:p>
            <w:pPr>
              <w:spacing w:before="0" w:after="0" w:line="276" w:lineRule="auto"/>
              <w:jc w:val="left"/>
            </w:pPr>
            <w:r>
              <w:rPr>
                <w:rFonts w:ascii="Times New Roman" w:hAnsi="Times New Roman"/>
                <w:color w:val="000000"/>
                <w:sz w:val="21"/>
              </w:rPr>
              <w:t>UAP</w:t>
            </w:r>
          </w:p>
        </w:tc>
        <w:tc>
          <w:tcPr>
            <w:tcW w:type="dxa" w:w="3456"/>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c>
          <w:tcPr>
            <w:tcW w:type="dxa" w:w="1728"/>
            <w:tcMar>
              <w:top w:w="100" w:type="dxa"/>
              <w:bottom w:w="100" w:type="dxa"/>
              <w:left w:w="150" w:type="dxa"/>
              <w:right w:w="150" w:type="dxa"/>
            </w:tcMar>
          </w:tcPr>
          <w:p>
            <w:pPr>
              <w:spacing w:before="0" w:after="0" w:line="276" w:lineRule="auto"/>
              <w:jc w:val="left"/>
            </w:pPr>
            <w:r>
              <w:rPr>
                <w:rFonts w:ascii="Times New Roman" w:hAnsi="Times New Roman"/>
                <w:color w:val="000000"/>
                <w:sz w:val="21"/>
              </w:rPr>
              <w:t>Belum ditetapkan</w:t>
            </w:r>
          </w:p>
        </w:tc>
      </w:tr>
    </w:tbl>
    <w:p>
      <w:r>
        <w:br w:type="page"/>
      </w:r>
    </w:p>
    <w:p>
      <w:pPr>
        <w:keepNext/>
        <w:spacing w:before="280" w:after="160"/>
        <w:jc w:val="center"/>
      </w:pPr>
      <w:r>
        <w:rPr>
          <w:rFonts w:ascii="Times New Roman" w:hAnsi="Times New Roman"/>
          <w:b/>
          <w:color w:val="000000"/>
          <w:sz w:val="28"/>
        </w:rPr>
        <w:t>LAMPIRAN A: GLOSARIUM</w:t>
      </w:r>
    </w:p>
    <w:p>
      <w:pPr>
        <w:spacing w:before="0" w:after="80" w:line="360" w:lineRule="auto"/>
        <w:ind w:firstLine="720"/>
        <w:jc w:val="both"/>
      </w:pPr>
      <w:r>
        <w:rPr>
          <w:rFonts w:ascii="Times New Roman" w:hAnsi="Times New Roman"/>
          <w:color w:val="000000"/>
          <w:sz w:val="24"/>
        </w:rPr>
        <w:t>Istilah kunci yang digunakan dalam dokumen ini mengacu pada standar internasional ISO/IEC/IEEE 29119-1 (Concepts and Definitions):</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970"/>
        <w:gridCol w:w="3970"/>
      </w:tblGrid>
      <w:tr>
        <w:trPr>
          <w:tblHeader/>
          <w:cantSplit/>
        </w:trPr>
        <w:tc>
          <w:tcPr>
            <w:tcW w:type="dxa" w:w="2880"/>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Istilah</w:t>
            </w:r>
          </w:p>
        </w:tc>
        <w:tc>
          <w:tcPr>
            <w:tcW w:type="dxa" w:w="5472"/>
            <w:shd w:fill="F2F2F2"/>
            <w:tcMar>
              <w:top w:w="120" w:type="dxa"/>
              <w:bottom w:w="120" w:type="dxa"/>
              <w:left w:w="150" w:type="dxa"/>
              <w:right w:w="150" w:type="dxa"/>
            </w:tcMar>
            <w:tcBorders>
              <w:bottom w:val="single" w:sz="8" w:space="0" w:color="000000"/>
            </w:tcBorders>
          </w:tcPr>
          <w:p>
            <w:pPr>
              <w:spacing w:before="0" w:after="0" w:line="240" w:lineRule="auto"/>
              <w:jc w:val="left"/>
            </w:pPr>
            <w:r>
              <w:rPr>
                <w:rFonts w:ascii="Times New Roman" w:hAnsi="Times New Roman"/>
                <w:b/>
                <w:color w:val="000000"/>
                <w:sz w:val="21"/>
              </w:rPr>
              <w:t>Definisi Menurut ISO/IEC/IEEE 29119-1</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Item Uji (Test Item)</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Objek yang diuji. Dalam praktikum ini, objek tersebut adalah aplikasi web atau mobile yang dipilih oleh masing-masing praktikan.</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Dasar Pengujian (Test Basis)</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Sumber diturunkannya sebuah test condition, dapat berupa kebutuhan, user story, atau perilaku yang sudah disepakati.</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Kondisi Pengujian (Test Condition)</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Aspek dari aplikasi yang dapat diuji secara spesifik, dan menjadi dasar penulisan test case.</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Kasus Uji (Test Case)</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Input konkret, langkah-langkah, dan hasil yang diharapkan, yang digunakan untuk memeriksa satu test condition.</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Lingkungan Pengujian (Test Environment)</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Perangkat, software, dan akses yang dibutuhkan untuk benar-benar menjalankan pengujian.</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Risiko (Risk)</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Kemungkinan terjadinya suatu masalah, baik pada produk itu sendiri (Risiko Produk) maupun pada proyek di sekitarnya, seperti tenggat waktu yang ketat (Risiko Proyek).</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Insiden (Incident)</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Segala sesuatu yang tidak terduga yang ditemukan selama pengujian dan perlu ditelusuri lebih lanjut.</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Keterlacakan (Traceability)</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Kemampuan untuk menelusuri hubungan dari sebuah kebutuhan, ke sebuah fitur, hingga ke test case yang memeriksanya.</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Dampak (Impact)</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Seberapa serius akibat yang akan timbul apabila sebuah risiko benar-benar terjadi, dinilai dengan skala 1 sampai 5.</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Kemungkinan (Likelihood)</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Seberapa besar kemungkinan sebuah risiko benar-benar terjadi, dinilai dengan skala 1 sampai 5.</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Prioritas (Priority)</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Tingkat kepentingan suatu risiko secara keseluruhan, dihitung sebagai Dampak dikalikan Kemungkinan. Digunakan untuk menentukan risiko mana yang perlu ditangani lebih dulu.</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Strategi Mitigasi (Mitigation Strategy)</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Tindakan yang direncanakan untuk mengurangi dampak suatu risiko atau kemungkinan risiko tersebut terjadi.</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Kriteria Masuk (Entry Criteria)</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Kondisi yang harus terpenuhi sebelum pengujian dapat dimulai.</w:t>
            </w:r>
          </w:p>
        </w:tc>
      </w:tr>
      <w:tr>
        <w:trPr>
          <w:cantSplit/>
        </w:trPr>
        <w:tc>
          <w:tcPr>
            <w:tcW w:type="dxa" w:w="2880"/>
            <w:tcMar>
              <w:top w:w="100" w:type="dxa"/>
              <w:bottom w:w="100" w:type="dxa"/>
              <w:left w:w="150" w:type="dxa"/>
              <w:right w:w="150" w:type="dxa"/>
            </w:tcMar>
          </w:tcPr>
          <w:p>
            <w:pPr>
              <w:spacing w:before="0" w:after="0" w:line="276" w:lineRule="auto"/>
              <w:jc w:val="left"/>
            </w:pPr>
            <w:r>
              <w:rPr>
                <w:rFonts w:ascii="Times New Roman" w:hAnsi="Times New Roman"/>
                <w:b/>
                <w:color w:val="000000"/>
                <w:sz w:val="21"/>
              </w:rPr>
              <w:t>Kriteria Keluar (Exit Criteria)</w:t>
            </w:r>
          </w:p>
        </w:tc>
        <w:tc>
          <w:tcPr>
            <w:tcW w:type="dxa" w:w="5472"/>
            <w:tcMar>
              <w:top w:w="100" w:type="dxa"/>
              <w:bottom w:w="100" w:type="dxa"/>
              <w:left w:w="150" w:type="dxa"/>
              <w:right w:w="150" w:type="dxa"/>
            </w:tcMar>
          </w:tcPr>
          <w:p>
            <w:pPr>
              <w:spacing w:before="0" w:after="0" w:line="276" w:lineRule="auto"/>
              <w:jc w:val="left"/>
            </w:pPr>
            <w:r>
              <w:rPr>
                <w:rFonts w:ascii="Times New Roman" w:hAnsi="Times New Roman"/>
                <w:color w:val="000000"/>
                <w:sz w:val="21"/>
              </w:rPr>
              <w:t>Kondisi yang menandakan bahwa pengujian telah selesai.</w:t>
            </w:r>
          </w:p>
        </w:tc>
      </w:tr>
    </w:tbl>
    <w:sectPr w:rsidR="00FC693F" w:rsidRPr="0006063C" w:rsidSect="00034616">
      <w:pgSz w:w="11909" w:h="16834"/>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