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30.png" ContentType="image/png"/>
  <Override PartName="/word/media/rId34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paper title here</w:t>
      </w:r>
    </w:p>
    <w:p>
      <w:pPr>
        <w:pStyle w:val="Author"/>
      </w:pPr>
      <w:r>
        <w:t xml:space="preserve">First Author (Department of Economics, University X)</w:t>
      </w:r>
    </w:p>
    <w:p>
      <w:pPr>
        <w:pStyle w:val="Author"/>
      </w:pPr>
      <w:r>
        <w:t xml:space="preserve">Second Author (University Y)</w:t>
      </w:r>
    </w:p>
    <w:p>
      <w:pPr>
        <w:pStyle w:val="Date"/>
      </w:pPr>
      <w:r>
        <w:t xml:space="preserve">2026-05-18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Your abstract.</w:t>
      </w:r>
    </w:p>
    <w:bookmarkStart w:id="1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manuscript demonstrates a workflow that combines two Quarto</w:t>
      </w:r>
      <w:r>
        <w:t xml:space="preserve"> </w:t>
      </w:r>
      <w:r>
        <w:t xml:space="preserve">techniques. First, the</w:t>
      </w:r>
      <w:r>
        <w:t xml:space="preserve"> </w:t>
      </w:r>
      <w:r>
        <w:rPr>
          <w:rStyle w:val="VerbatimChar"/>
        </w:rPr>
        <w:t xml:space="preserve">multibib</w:t>
      </w:r>
      <w:r>
        <w:t xml:space="preserve"> </w:t>
      </w:r>
      <w:r>
        <w:t xml:space="preserve">Lua filter splits the bibliography</w:t>
      </w:r>
      <w:r>
        <w:t xml:space="preserve"> </w:t>
      </w:r>
      <w:r>
        <w:t xml:space="preserve">into a main list and an appendix list, following</w:t>
      </w:r>
      <w:r>
        <w:t xml:space="preserve"> </w:t>
      </w:r>
      <w:r>
        <w:t xml:space="preserve">Smith and Doe (2020)</w:t>
      </w:r>
      <w:r>
        <w:t xml:space="preserve"> </w:t>
      </w:r>
      <w:r>
        <w:t xml:space="preserve">and</w:t>
      </w:r>
      <w:r>
        <w:t xml:space="preserve"> </w:t>
      </w:r>
      <w:r>
        <w:t xml:space="preserve">Angrist and Pischke (2009)</w:t>
      </w:r>
      <w:r>
        <w:t xml:space="preserve">. Second, Quarto 1.4+ custom cross-reference kinds let us</w:t>
      </w:r>
      <w:r>
        <w:t xml:space="preserve"> </w:t>
      </w:r>
      <w:r>
        <w:t xml:space="preserve">number appendix tables independently — see</w:t>
      </w:r>
      <w:r>
        <w:t xml:space="preserve"> </w:t>
      </w:r>
      <w:hyperlink w:anchor="apxatbl-summary">
        <w:r>
          <w:rPr>
            <w:rStyle w:val="Hyperlink"/>
          </w:rPr>
          <w:t xml:space="preserve">Table A1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Appendix A and</w:t>
      </w:r>
      <w:r>
        <w:t xml:space="preserve"> </w:t>
      </w:r>
      <w:hyperlink w:anchor="apxbtbl-robust">
        <w:r>
          <w:rPr>
            <w:rStyle w:val="Hyperlink"/>
          </w:rPr>
          <w:t xml:space="preserve">Table B1</w:t>
        </w:r>
      </w:hyperlink>
      <w:r>
        <w:t xml:space="preserve"> </w:t>
      </w:r>
      <w:r>
        <w:t xml:space="preserve">in Appendix B for examples that are</w:t>
      </w:r>
      <w:r>
        <w:t xml:space="preserve"> </w:t>
      </w:r>
      <w:r>
        <w:t xml:space="preserve">cross-referenced from the main text.</w:t>
      </w:r>
      <w:r>
        <w:rPr>
          <w:rStyle w:val="FootnoteReference"/>
        </w:rPr>
        <w:footnoteReference w:id="9"/>
      </w:r>
    </w:p>
    <w:p>
      <w:pPr>
        <w:pStyle w:val="BodyText"/>
      </w:pPr>
      <w:r>
        <w:t xml:space="preserve">A second paragraph illustrates that the document supports normal</w:t>
      </w:r>
      <w:r>
        <w:t xml:space="preserve"> </w:t>
      </w:r>
      <w:r>
        <w:t xml:space="preserve">paragraph breaks. The economics literature has documented effects of</w:t>
      </w:r>
      <w:r>
        <w:t xml:space="preserve"> </w:t>
      </w:r>
      <w:r>
        <w:t xml:space="preserve">policy X on outcome Y across a wide variety of settings, including</w:t>
      </w:r>
      <w:r>
        <w:t xml:space="preserve"> </w:t>
      </w:r>
      <w:r>
        <w:t xml:space="preserve">labor markets, education, and health. Our contribution is twofold.</w:t>
      </w:r>
      <w:r>
        <w:t xml:space="preserve"> </w:t>
      </w:r>
      <w:r>
        <w:t xml:space="preserve">First, we provide new evidence using a richer panel than has been</w:t>
      </w:r>
      <w:r>
        <w:t xml:space="preserve"> </w:t>
      </w:r>
      <w:r>
        <w:t xml:space="preserve">available previously. Second, we develop a tractable estimator that</w:t>
      </w:r>
      <w:r>
        <w:t xml:space="preserve"> </w:t>
      </w:r>
      <w:r>
        <w:t xml:space="preserve">nests the workhorse two-way fixed-effects design as a special case.</w:t>
      </w:r>
    </w:p>
    <w:p>
      <w:pPr>
        <w:pStyle w:val="BodyText"/>
      </w:pPr>
      <w:r>
        <w:t xml:space="preserve">The remainder of the paper proceeds as follows. Section 2 describes</w:t>
      </w:r>
      <w:r>
        <w:t xml:space="preserve"> </w:t>
      </w:r>
      <w:r>
        <w:t xml:space="preserve">the data and estimation strategy. Section 3 presents the main</w:t>
      </w:r>
      <w:r>
        <w:t xml:space="preserve"> </w:t>
      </w:r>
      <w:r>
        <w:t xml:space="preserve">results. Section 4 discusses external validity and the role of</w:t>
      </w:r>
      <w:r>
        <w:t xml:space="preserve"> </w:t>
      </w:r>
      <w:r>
        <w:t xml:space="preserve">alternative mechanisms. Section 5 concludes. All proofs, data</w:t>
      </w:r>
      <w:r>
        <w:t xml:space="preserve"> </w:t>
      </w:r>
      <w:r>
        <w:t xml:space="preserve">construction details, and robustness exercises are collected in the</w:t>
      </w:r>
      <w:r>
        <w:t xml:space="preserve"> </w:t>
      </w:r>
      <w:r>
        <w:t xml:space="preserve">appendices.</w:t>
      </w:r>
    </w:p>
    <w:bookmarkEnd w:id="10"/>
    <w:bookmarkStart w:id="13" w:name="methods"/>
    <w:p>
      <w:pPr>
        <w:pStyle w:val="Heading1"/>
      </w:pPr>
      <w:r>
        <w:t xml:space="preserve">2. Methods</w:t>
      </w:r>
    </w:p>
    <w:p>
      <w:pPr>
        <w:pStyle w:val="FirstParagraph"/>
      </w:pPr>
      <w:r>
        <w:t xml:space="preserve">We rely on standard econometric tools</w:t>
      </w:r>
      <w:r>
        <w:t xml:space="preserve"> </w:t>
      </w:r>
      <w:r>
        <w:t xml:space="preserve">(Wooldridge 2010)</w:t>
      </w:r>
      <w:r>
        <w:t xml:space="preserve">. 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denote the outcome of interest for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period</w:t>
      </w:r>
      <w:r>
        <w:t xml:space="preserve"> </w:t>
      </w:r>
      <m:oMath>
        <m:r>
          <m:t>t</m:t>
        </m:r>
      </m:oMath>
      <w:r>
        <w:t xml:space="preserve">, 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be a binary indicator for treatment exposure.</w:t>
      </w:r>
      <w:r>
        <w:t xml:space="preserve"> </w:t>
      </w:r>
      <w:r>
        <w:t xml:space="preserve">The baseline specification is</w:t>
      </w:r>
    </w:p>
    <w:p>
      <w:pPr>
        <w:pStyle w:val="BodyText"/>
      </w:pPr>
      <w:bookmarkStart w:id="11" w:name="eq-baseline"/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t> 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i</m:t>
              </m:r>
              <m:r>
                <m:t>t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γ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unit and time fixed effects,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a vector of time-varying controls, and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is an idiosyncratic error term.</w:t>
      </w:r>
      <w:r>
        <w:rPr>
          <w:rStyle w:val="FootnoteReference"/>
        </w:rPr>
        <w:footnoteReference w:id="12"/>
      </w:r>
      <w:r>
        <w:t xml:space="preserve"> </w:t>
      </w:r>
      <w:r>
        <w:t xml:space="preserve">Under the standard</w:t>
      </w:r>
      <w:r>
        <w:t xml:space="preserve"> </w:t>
      </w:r>
      <w:r>
        <w:t xml:space="preserve">parallel-trends assumption, the coefficient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</w:t>
      </w:r>
      <w:r>
        <w:t xml:space="preserve"> </w:t>
      </w:r>
      <w:hyperlink w:anchor="eq-baseli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identifies the average treatment effect on the treated.</w:t>
      </w:r>
    </w:p>
    <w:p>
      <w:pPr>
        <w:pStyle w:val="BodyText"/>
      </w:pPr>
      <w:r>
        <w:t xml:space="preserve">A more flexible variant that we report in robustness exercises</w:t>
      </w:r>
      <w:r>
        <w:t xml:space="preserve"> </w:t>
      </w:r>
      <w:r>
        <w:t xml:space="preserve">replaces the single treatment indicator with a fully interacted set</w:t>
      </w:r>
      <w:r>
        <w:t xml:space="preserve"> </w:t>
      </w:r>
      <w:r>
        <w:t xml:space="preserve">of relative-time dummies:</w:t>
      </w:r>
    </w:p>
    <w:p>
      <w:pPr>
        <w:pStyle w:val="BodyText"/>
      </w:pPr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treatment-adoption date for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traces the dynamic path of the treatment effect. Standard errors are</w:t>
      </w:r>
      <w:r>
        <w:t xml:space="preserve"> </w:t>
      </w:r>
      <w:r>
        <w:t xml:space="preserve">clustered at the unit level throughout, following the recommendations</w:t>
      </w:r>
      <w:r>
        <w:t xml:space="preserve"> </w:t>
      </w:r>
      <w:r>
        <w:t xml:space="preserve">of</w:t>
      </w:r>
      <w:r>
        <w:t xml:space="preserve"> </w:t>
      </w:r>
      <w:r>
        <w:t xml:space="preserve">Cameron and Miller (2015)</w:t>
      </w:r>
      <w:r>
        <w:t xml:space="preserve"> </w:t>
      </w:r>
      <w:r>
        <w:t xml:space="preserve">and</w:t>
      </w:r>
      <w:r>
        <w:t xml:space="preserve"> </w:t>
      </w:r>
      <w:r>
        <w:t xml:space="preserve">Abadie et al. (2017)</w:t>
      </w:r>
      <w:r>
        <w:t xml:space="preserve"> </w:t>
      </w:r>
      <w:r>
        <w:t xml:space="preserve">— see Appendix B for further</w:t>
      </w:r>
      <w:r>
        <w:t xml:space="preserve"> </w:t>
      </w:r>
      <w:r>
        <w:t xml:space="preserve">discussion.</w:t>
      </w:r>
    </w:p>
    <w:p>
      <w:pPr>
        <w:pStyle w:val="BodyText"/>
      </w:pPr>
      <w:r>
        <w:t xml:space="preserve">Three additional comments on the estimation strategy are worth</w:t>
      </w:r>
      <w:r>
        <w:t xml:space="preserve"> </w:t>
      </w:r>
      <w:r>
        <w:t xml:space="preserve">flagging. First, identification rests on the absence of</w:t>
      </w:r>
      <w:r>
        <w:t xml:space="preserve"> </w:t>
      </w:r>
      <w:r>
        <w:t xml:space="preserve">contemporaneous shocks that are differentially correlated with</w:t>
      </w:r>
      <w:r>
        <w:t xml:space="preserve"> </w:t>
      </w:r>
      <w:r>
        <w:t xml:space="preserve">treatment status across units. We probe this assumption in Appendix B</w:t>
      </w:r>
      <w:r>
        <w:t xml:space="preserve"> </w:t>
      </w:r>
      <w:r>
        <w:t xml:space="preserve">using a placebo exercise with lagged treatment dummies. Second, the</w:t>
      </w:r>
      <w:r>
        <w:t xml:space="preserve"> </w:t>
      </w:r>
      <w:r>
        <w:t xml:space="preserve">controls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 </w:t>
      </w:r>
      <w:r>
        <w:t xml:space="preserve">are restricted to variables that are arguably</w:t>
      </w:r>
      <w:r>
        <w:t xml:space="preserve"> </w:t>
      </w:r>
      <w:r>
        <w:t xml:space="preserve">predetermined relative to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t</m:t>
            </m:r>
          </m:sub>
        </m:sSub>
      </m:oMath>
      <w:r>
        <w:t xml:space="preserve">; including endogenous controls</w:t>
      </w:r>
      <w:r>
        <w:t xml:space="preserve"> </w:t>
      </w:r>
      <w:r>
        <w:t xml:space="preserve">would re-introduce the very bias the fixed-effects design is meant to</w:t>
      </w:r>
      <w:r>
        <w:t xml:space="preserve"> </w:t>
      </w:r>
      <w:r>
        <w:t xml:space="preserve">purge. Third, the sample is constructed from administrative records</w:t>
      </w:r>
      <w:r>
        <w:t xml:space="preserve"> </w:t>
      </w:r>
      <w:r>
        <w:t xml:space="preserve">described in Appendix A; differences in coverage across regions are</w:t>
      </w:r>
      <w:r>
        <w:t xml:space="preserve"> </w:t>
      </w:r>
      <w:r>
        <w:t xml:space="preserve">small but non-trivial, and we accommodate them with sampling weights.</w:t>
      </w:r>
    </w:p>
    <w:bookmarkEnd w:id="13"/>
    <w:bookmarkStart w:id="19" w:name="results"/>
    <w:p>
      <w:pPr>
        <w:pStyle w:val="Heading1"/>
      </w:pPr>
      <w:r>
        <w:t xml:space="preserve">3. Results</w:t>
      </w:r>
    </w:p>
    <w:p>
      <w:pPr>
        <w:pStyle w:val="FirstParagraph"/>
      </w:pPr>
      <w:r>
        <w:t xml:space="preserve">The main result is summarized in</w:t>
      </w:r>
      <w:r>
        <w:t xml:space="preserve"> </w:t>
      </w:r>
      <w:hyperlink w:anchor="tbl-main">
        <w:r>
          <w:rPr>
            <w:rStyle w:val="Hyperlink"/>
          </w:rPr>
          <w:t xml:space="preserve">Table 1</w:t>
        </w:r>
      </w:hyperlink>
      <w:r>
        <w:t xml:space="preserve">. Note the table is numbered</w:t>
      </w:r>
      <w:r>
        <w:t xml:space="preserve"> </w:t>
      </w:r>
      <w:r>
        <w:t xml:space="preserve">“Table 1”</w:t>
      </w:r>
      <w:r>
        <w:t xml:space="preserve"> </w:t>
      </w:r>
      <w:r>
        <w:t xml:space="preserve">— the appendix tables use a separate counter and start at</w:t>
      </w:r>
      <w:r>
        <w:t xml:space="preserve"> </w:t>
      </w:r>
      <w:r>
        <w:t xml:space="preserve">A1 and B1.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mai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Main results — effect of policy X on income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 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Baseline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+ Controls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Policy X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326.286***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314.319***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(72.127)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(69.422)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-14.506***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(2.902)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Education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97.899***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(11.503)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Num.Obs.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1200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1200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0.017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0.091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3"/>
                  <w:tcBorders>
                    <w:bottom w:val="none" w:sz="0" w:space="0" w:color="FFFFFF"/>
                    <w:top w:val="single" w:sz="12" w:space="0" w:color="666666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* p &lt; 0.1, ** p &lt; 0.05, *** p &lt; 0.01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headline point estimate of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326.29</m:t>
        </m:r>
      </m:oMath>
      <w:r>
        <w:t xml:space="preserve"> </w:t>
      </w:r>
      <w:r>
        <w:t xml:space="preserve">corresponds to</w:t>
      </w:r>
      <w:r>
        <w:t xml:space="preserve"> </w:t>
      </w:r>
      <w:r>
        <w:t xml:space="preserve">roughly a 326</w:t>
      </w:r>
      <w:r>
        <w:t xml:space="preserve"> </w:t>
      </w:r>
      <w:r>
        <w:t xml:space="preserve">USD increase in annual income for treated observations, relative to</w:t>
      </w:r>
      <w:r>
        <w:t xml:space="preserve"> </w:t>
      </w:r>
      <w:r>
        <w:t xml:space="preserve">the untreated counterfactual. The estimate is precisely measured</w:t>
      </w:r>
      <w:r>
        <w:t xml:space="preserve"> </w:t>
      </w:r>
      <w:r>
        <w:t xml:space="preserve">(standard error of 72.1)</w:t>
      </w:r>
      <w:r>
        <w:t xml:space="preserve"> </w:t>
      </w:r>
      <w:r>
        <w:t xml:space="preserve">and statistically distinguishable from zero at conventional levels.</w:t>
      </w:r>
    </w:p>
    <w:p>
      <w:pPr>
        <w:pStyle w:val="BodyText"/>
      </w:pPr>
      <w:r>
        <w:t xml:space="preserve">Magnitudes are economically meaningful. To benchmark them, note that</w:t>
      </w:r>
      <w:r>
        <w:t xml:space="preserve"> </w:t>
      </w:r>
      <w:r>
        <w:t xml:space="preserve">a one-standard-deviation change in education in our sample is</w:t>
      </w:r>
      <w:r>
        <w:t xml:space="preserve"> </w:t>
      </w:r>
      <w:r>
        <w:t xml:space="preserve">associated with a</w:t>
      </w:r>
      <w:r>
        <w:t xml:space="preserve"> </w:t>
      </w:r>
      <w:r>
        <w:t xml:space="preserve">293-USD difference</w:t>
      </w:r>
      <w:r>
        <w:t xml:space="preserve"> </w:t>
      </w:r>
      <w:r>
        <w:t xml:space="preserve">in income; the implied treatment effect is therefore roughly</w:t>
      </w:r>
      <w:r>
        <w:t xml:space="preserve"> </w:t>
      </w:r>
      <w:r>
        <w:t xml:space="preserve">1.1</w:t>
      </w:r>
      <w:r>
        <w:t xml:space="preserve"> </w:t>
      </w:r>
      <w:r>
        <w:t xml:space="preserve">times the size of this correlational benchmark. Whether this</w:t>
      </w:r>
      <w:r>
        <w:t xml:space="preserve"> </w:t>
      </w:r>
      <w:r>
        <w:t xml:space="preserve">magnitude is plausible depends on one’s prior about how much scope</w:t>
      </w:r>
      <w:r>
        <w:t xml:space="preserve"> </w:t>
      </w:r>
      <w:r>
        <w:t xml:space="preserve">remains for policy to move outcomes in this setting — a question we</w:t>
      </w:r>
      <w:r>
        <w:t xml:space="preserve"> </w:t>
      </w:r>
      <w:r>
        <w:t xml:space="preserve">return to in the discussion.</w:t>
      </w:r>
    </w:p>
    <w:p>
      <w:pPr>
        <w:pStyle w:val="BodyText"/>
      </w:pPr>
      <w:hyperlink w:anchor="fig-treat-effec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the distribution of income for treated and</w:t>
      </w:r>
      <w:r>
        <w:t xml:space="preserve"> </w:t>
      </w:r>
      <w:r>
        <w:t xml:space="preserve">untreated observations to give a visual sense of the gap.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treat-effect"/>
          <w:p>
            <w:pPr>
              <w:pStyle w:val="Compact"/>
              <w:jc w:val="center"/>
            </w:pPr>
            <w:r>
              <w:drawing>
                <wp:inline>
                  <wp:extent cx="4587290" cy="2752374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template_files/figure-docx/fig-treat-effect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Income distribution by treatment status</w:t>
            </w:r>
          </w:p>
          <w:bookmarkEnd w:id="18"/>
        </w:tc>
      </w:tr>
    </w:tbl>
    <w:bookmarkEnd w:id="19"/>
    <w:bookmarkStart w:id="21" w:name="discussion"/>
    <w:p>
      <w:pPr>
        <w:pStyle w:val="Heading1"/>
      </w:pPr>
      <w:r>
        <w:t xml:space="preserve">4. Discussion</w:t>
      </w:r>
    </w:p>
    <w:p>
      <w:pPr>
        <w:pStyle w:val="FirstParagraph"/>
      </w:pPr>
      <w:r>
        <w:t xml:space="preserve">The findings are consistent with prior work</w:t>
      </w:r>
      <w:r>
        <w:t xml:space="preserve"> </w:t>
      </w:r>
      <w:r>
        <w:t xml:space="preserve">(Angrist and Pischke 2009; Smith and Doe 2020)</w:t>
      </w:r>
      <w:r>
        <w:t xml:space="preserve">. Three threats to the interpretation deserve attention.</w:t>
      </w:r>
    </w:p>
    <w:p>
      <w:pPr>
        <w:pStyle w:val="BodyText"/>
      </w:pPr>
      <w:r>
        <w:t xml:space="preserve">First, the parallel-trends assumption underlying</w:t>
      </w:r>
      <w:r>
        <w:t xml:space="preserve"> </w:t>
      </w:r>
      <w:hyperlink w:anchor="eq-baseli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is, in</w:t>
      </w:r>
      <w:r>
        <w:t xml:space="preserve"> </w:t>
      </w:r>
      <w:r>
        <w:t xml:space="preserve">principle, untestable; in practice, we follow common practice and</w:t>
      </w:r>
      <w:r>
        <w:t xml:space="preserve"> </w:t>
      </w:r>
      <w:r>
        <w:t xml:space="preserve">inspect pre-trend coefficients in an event-study specification (see</w:t>
      </w:r>
      <w:r>
        <w:t xml:space="preserve"> </w:t>
      </w:r>
      <w:r>
        <w:t xml:space="preserve">Appendix B). The estimated pre-trends are small and statistically</w:t>
      </w:r>
      <w:r>
        <w:t xml:space="preserve"> </w:t>
      </w:r>
      <w:r>
        <w:t xml:space="preserve">indistinguishable from zero, but they are noisy enough that the</w:t>
      </w:r>
      <w:r>
        <w:t xml:space="preserve"> </w:t>
      </w:r>
      <w:r>
        <w:t xml:space="preserve">exercise is reassuring rather than dispositive.</w:t>
      </w:r>
    </w:p>
    <w:p>
      <w:pPr>
        <w:pStyle w:val="BodyText"/>
      </w:pPr>
      <w:r>
        <w:t xml:space="preserve">Second, treatment exposure is correlated with several unit-level</w:t>
      </w:r>
      <w:r>
        <w:t xml:space="preserve"> </w:t>
      </w:r>
      <w:r>
        <w:t xml:space="preserve">characteristics that may, in principle, generate effect</w:t>
      </w:r>
      <w:r>
        <w:t xml:space="preserve"> </w:t>
      </w:r>
      <w:r>
        <w:t xml:space="preserve">heterogeneity. We document this heterogeneity in Appendix B and show</w:t>
      </w:r>
      <w:r>
        <w:t xml:space="preserve"> </w:t>
      </w:r>
      <w:r>
        <w:t xml:space="preserve">that the headline estimate is robust to dropping the most exposed</w:t>
      </w:r>
      <w:r>
        <w:t xml:space="preserve"> </w:t>
      </w:r>
      <w:r>
        <w:t xml:space="preserve">sub-population.</w:t>
      </w:r>
    </w:p>
    <w:p>
      <w:pPr>
        <w:pStyle w:val="BodyText"/>
      </w:pPr>
      <w:r>
        <w:t xml:space="preserve">Third, the outcome Y is measured with non-trivial error in part of</w:t>
      </w:r>
      <w:r>
        <w:t xml:space="preserve"> </w:t>
      </w:r>
      <w:r>
        <w:t xml:space="preserve">the sample. Following</w:t>
      </w:r>
      <w:r>
        <w:t xml:space="preserve"> </w:t>
      </w:r>
      <w:r>
        <w:t xml:space="preserve">Abadie et al. (2017)</w:t>
      </w:r>
      <w:r>
        <w:t xml:space="preserve"> </w:t>
      </w:r>
      <w:r>
        <w:t xml:space="preserve">we report cluster-robust standard</w:t>
      </w:r>
      <w:r>
        <w:t xml:space="preserve"> </w:t>
      </w:r>
      <w:r>
        <w:t xml:space="preserve">errors throughout; we have also experimented with bootstrap</w:t>
      </w:r>
      <w:r>
        <w:t xml:space="preserve"> </w:t>
      </w:r>
      <w:r>
        <w:t xml:space="preserve">inference and the conclusions are unchanged.</w:t>
      </w:r>
      <w:r>
        <w:rPr>
          <w:rStyle w:val="FootnoteReference"/>
        </w:rPr>
        <w:footnoteReference w:id="20"/>
      </w:r>
    </w:p>
    <w:bookmarkEnd w:id="21"/>
    <w:bookmarkStart w:id="22" w:name="conclusion"/>
    <w:p>
      <w:pPr>
        <w:pStyle w:val="Heading1"/>
      </w:pPr>
      <w:r>
        <w:t xml:space="preserve">5. Conclusion</w:t>
      </w:r>
    </w:p>
    <w:p>
      <w:pPr>
        <w:pStyle w:val="FirstParagraph"/>
      </w:pPr>
      <w:r>
        <w:t xml:space="preserve">We have shown a reproducible Quarto setup that supports separate</w:t>
      </w:r>
      <w:r>
        <w:t xml:space="preserve"> </w:t>
      </w:r>
      <w:r>
        <w:t xml:space="preserve">bibliographies and multiple, cross-referenceable appendices. The</w:t>
      </w:r>
      <w:r>
        <w:t xml:space="preserve"> </w:t>
      </w:r>
      <w:r>
        <w:t xml:space="preserve">empirical exercise — illustrative as it is here — would in a real</w:t>
      </w:r>
      <w:r>
        <w:t xml:space="preserve"> </w:t>
      </w:r>
      <w:r>
        <w:t xml:space="preserve">paper carry implications for both academic understanding of mechanism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for the design of policy P. We leave both for future work.</w:t>
      </w:r>
    </w:p>
    <w:bookmarkEnd w:id="22"/>
    <w:bookmarkStart w:id="27" w:name="references"/>
    <w:p>
      <w:pPr>
        <w:pStyle w:val="Heading1"/>
      </w:pPr>
      <w:r>
        <w:t xml:space="preserve">References</w:t>
      </w:r>
    </w:p>
    <w:bookmarkStart w:id="26" w:name="refs-main"/>
    <w:bookmarkStart w:id="23" w:name="ref-angrist2009"/>
    <w:p>
      <w:pPr>
        <w:pStyle w:val="Bibliography"/>
      </w:pPr>
      <w:r>
        <w:t xml:space="preserve">Angrist, Joshua D., and Jörn-Steffen Pischke. 2009.</w:t>
      </w:r>
      <w:r>
        <w:t xml:space="preserve"> </w:t>
      </w:r>
      <w:r>
        <w:rPr>
          <w:i/>
          <w:iCs/>
        </w:rPr>
        <w:t xml:space="preserve">Mostly Harmless Econometrics</w:t>
      </w:r>
      <w:r>
        <w:t xml:space="preserve">. Princeton University Press.</w:t>
      </w:r>
    </w:p>
    <w:bookmarkEnd w:id="23"/>
    <w:bookmarkStart w:id="24" w:name="ref-smith2020"/>
    <w:p>
      <w:pPr>
        <w:pStyle w:val="Bibliography"/>
      </w:pPr>
      <w:r>
        <w:t xml:space="preserve">Smith, John, and Jane Doe. 2020.</w:t>
      </w:r>
      <w:r>
        <w:t xml:space="preserve"> </w:t>
      </w:r>
      <w:r>
        <w:t xml:space="preserve">“Effects of Policy x on Outcome y.”</w:t>
      </w:r>
      <w:r>
        <w:t xml:space="preserve"> </w:t>
      </w:r>
      <w:r>
        <w:rPr>
          <w:i/>
          <w:iCs/>
        </w:rPr>
        <w:t xml:space="preserve">Journal of Important Things</w:t>
      </w:r>
      <w:r>
        <w:t xml:space="preserve"> </w:t>
      </w:r>
      <w:r>
        <w:t xml:space="preserve">42: 100–120.</w:t>
      </w:r>
    </w:p>
    <w:bookmarkEnd w:id="24"/>
    <w:bookmarkStart w:id="25" w:name="ref-wooldridge2010"/>
    <w:p>
      <w:pPr>
        <w:pStyle w:val="Bibliography"/>
      </w:pPr>
      <w:r>
        <w:t xml:space="preserve">Wooldridge, Jeffrey M. 2010.</w:t>
      </w:r>
      <w:r>
        <w:t xml:space="preserve"> </w:t>
      </w:r>
      <w:r>
        <w:t xml:space="preserve">“Econometric Analysis of Cross Section and Panel Data.”</w:t>
      </w:r>
      <w:r>
        <w:t xml:space="preserve"> </w:t>
      </w:r>
      <w:r>
        <w:rPr>
          <w:i/>
          <w:iCs/>
        </w:rPr>
        <w:t xml:space="preserve">MIT Press</w:t>
      </w:r>
      <w:r>
        <w:t xml:space="preserve">.</w:t>
      </w:r>
    </w:p>
    <w:bookmarkEnd w:id="25"/>
    <w:bookmarkEnd w:id="26"/>
    <w:p>
      <w:r>
        <w:br w:type="page"/>
      </w:r>
    </w:p>
    <w:bookmarkEnd w:id="27"/>
    <w:bookmarkStart w:id="51" w:name="appendix"/>
    <w:p>
      <w:pPr>
        <w:pStyle w:val="Heading1"/>
      </w:pPr>
      <w:r>
        <w:t xml:space="preserve">APPENDIX</w:t>
      </w:r>
    </w:p>
    <w:bookmarkStart w:id="38" w:name="sec-app-a"/>
    <w:p>
      <w:pPr>
        <w:pStyle w:val="Heading2"/>
      </w:pPr>
      <w:r>
        <w:t xml:space="preserve">Appendix A. Data curation</w:t>
      </w:r>
    </w:p>
    <w:p>
      <w:pPr>
        <w:pStyle w:val="FirstParagraph"/>
      </w:pPr>
      <w:r>
        <w:t xml:space="preserve">This appendix describes the data construction in detail.</w:t>
      </w:r>
      <w:r>
        <w:t xml:space="preserve"> </w:t>
      </w:r>
      <w:r>
        <w:t xml:space="preserve">Cameron and Miller (2015)</w:t>
      </w:r>
      <w:r>
        <w:t xml:space="preserve"> </w:t>
      </w:r>
      <w:r>
        <w:t xml:space="preserve">provide guidance on standard errors that we rely on</w:t>
      </w:r>
      <w:r>
        <w:t xml:space="preserve"> </w:t>
      </w:r>
      <w:r>
        <w:t xml:space="preserve">throughout. Summary statistics are reported in</w:t>
      </w:r>
      <w:r>
        <w:t xml:space="preserve"> </w:t>
      </w:r>
      <w:hyperlink w:anchor="apxatbl-summary">
        <w:r>
          <w:rPr>
            <w:rStyle w:val="Hyperlink"/>
          </w:rPr>
          <w:t xml:space="preserve">Table A1</w:t>
        </w:r>
      </w:hyperlink>
      <w:r>
        <w:t xml:space="preserve"> </w:t>
      </w:r>
      <w:r>
        <w:t xml:space="preserve">and a</w:t>
      </w:r>
      <w:r>
        <w:t xml:space="preserve"> </w:t>
      </w:r>
      <w:r>
        <w:t xml:space="preserve">coverage map in</w:t>
      </w:r>
      <w:r>
        <w:t xml:space="preserve"> </w:t>
      </w:r>
      <w:hyperlink w:anchor="apxafig-coverage">
        <w:r>
          <w:rPr>
            <w:rStyle w:val="Hyperlink"/>
          </w:rPr>
          <w:t xml:space="preserve">Figure A1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apxa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A1: Summary statistics for the analysis sample.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Variable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Mean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Min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Max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Income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5,178.1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1,247.3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1,307.2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10,585.8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1,200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38.8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11.8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78.0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1,200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Education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12.0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22.0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1,200</w:t>
                  </w:r>
                </w:p>
              </w:tc>
            </w:tr>
          </w:tbl>
          <w:bookmarkEnd w:id="28"/>
        </w:tc>
      </w:tr>
    </w:tbl>
    <w:p>
      <w:pPr>
        <w:pStyle w:val="TableNotes"/>
      </w:pPr>
      <w:r>
        <w:rPr>
          <w:i/>
          <w:iCs/>
        </w:rPr>
        <w:t xml:space="preserve">Notes:</w:t>
      </w:r>
      <w:r>
        <w:t xml:space="preserve"> </w:t>
      </w:r>
      <w:r>
        <w:t xml:space="preserve">Author calculations from the simulated XYZ Household Survey</w:t>
      </w:r>
      <w:r>
        <w:t xml:space="preserve"> </w:t>
      </w:r>
      <w:r>
        <w:t xml:space="preserve">panel constructed in the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chunk. Income is reported in 2020</w:t>
      </w:r>
      <w:r>
        <w:t xml:space="preserve"> </w:t>
      </w:r>
      <w:r>
        <w:t xml:space="preserve">USD. The analysis sample comprises</w:t>
      </w:r>
      <w:r>
        <w:t xml:space="preserve"> </w:t>
      </w:r>
      <w:r>
        <w:t xml:space="preserve">1,200 observations across</w:t>
      </w:r>
      <w:r>
        <w:t xml:space="preserve"> </w:t>
      </w:r>
      <w:r>
        <w:t xml:space="preserve">10 states.</w:t>
      </w:r>
    </w:p>
    <w:p>
      <w:pPr>
        <w:pStyle w:val="BodyText"/>
      </w:pPr>
      <w:r>
        <w:t xml:space="preserve">A second appendix table reports balance across treatment status: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apxatbl-bala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A2: Balance check across treatment and control groups.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Group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Income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Age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Education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Control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5,037.5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38.7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11.9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683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Treated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5,363.8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38.9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12.1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517</w:t>
                  </w:r>
                </w:p>
              </w:tc>
            </w:tr>
          </w:tbl>
          <w:bookmarkEnd w:id="29"/>
        </w:tc>
      </w:tr>
    </w:tbl>
    <w:p>
      <w:pPr>
        <w:pStyle w:val="TableNotes"/>
      </w:pPr>
      <w:r>
        <w:rPr>
          <w:i/>
          <w:iCs/>
        </w:rPr>
        <w:t xml:space="preserve">Notes:</w:t>
      </w:r>
      <w:r>
        <w:t xml:space="preserve"> </w:t>
      </w:r>
      <w:r>
        <w:t xml:space="preserve">Group means by treatment status, unweighted. Differences</w:t>
      </w:r>
      <w:r>
        <w:t xml:space="preserve"> </w:t>
      </w:r>
      <w:r>
        <w:t xml:space="preserve">across groups are small in magnitude but not jointly zero.</w:t>
      </w:r>
    </w:p>
    <w:p>
      <w:pPr>
        <w:pStyle w:val="BodyText"/>
      </w:pPr>
      <w:r>
        <w:t xml:space="preserve">The coverage of the survey across states is summarized in</w:t>
      </w:r>
      <w:r>
        <w:t xml:space="preserve"> </w:t>
      </w:r>
      <w:hyperlink w:anchor="apxafig-coverage">
        <w:r>
          <w:rPr>
            <w:rStyle w:val="Hyperlink"/>
          </w:rPr>
          <w:t xml:space="preserve">Figure A1</w:t>
        </w:r>
      </w:hyperlink>
      <w:r>
        <w:t xml:space="preserve">. We also display the joint distribution of age and</w:t>
      </w:r>
      <w:r>
        <w:t xml:space="preserve"> </w:t>
      </w:r>
      <w:r>
        <w:t xml:space="preserve">income as a two-panel figure (</w:t>
      </w:r>
      <w:hyperlink w:anchor="apxafig-joint">
        <w:r>
          <w:rPr>
            <w:rStyle w:val="Hyperlink"/>
          </w:rPr>
          <w:t xml:space="preserve">Figure A2</w:t>
        </w:r>
      </w:hyperlink>
      <w:r>
        <w:t xml:space="preserve">), where panel (a) shows</w:t>
      </w:r>
      <w:r>
        <w:t xml:space="preserve"> </w:t>
      </w:r>
      <w:r>
        <w:t xml:space="preserve">the age distribution and panel (b) shows the joint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apxafig-coverage"/>
          <w:p>
            <w:pPr>
              <w:jc w:val="center"/>
            </w:pPr>
            <w:r>
              <w:drawing>
                <wp:inline>
                  <wp:extent cx="4587290" cy="275237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template_files/figure-docx/unnamed-chunk-3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A1: Sample coverage by state.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apxafig-joint"/>
          <w:p>
            <w:pPr>
              <w:jc w:val="center"/>
            </w:pPr>
            <w:r>
              <w:drawing>
                <wp:inline>
                  <wp:extent cx="5504749" cy="238539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template_files/figure-docx/unnamed-chunk-4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4749" cy="2385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A2: Joint distribution of age and income — (a) marginal age, (b) joint density with income.</w:t>
            </w:r>
          </w:p>
          <w:bookmarkEnd w:id="37"/>
        </w:tc>
      </w:tr>
    </w:tbl>
    <w:p>
      <w:pPr>
        <w:pStyle w:val="TableNotes"/>
      </w:pPr>
      <w:r>
        <w:rPr>
          <w:i/>
          <w:iCs/>
        </w:rPr>
        <w:t xml:space="preserve">Notes:</w:t>
      </w:r>
      <w:r>
        <w:t xml:space="preserve"> </w:t>
      </w:r>
      <w:r>
        <w:t xml:space="preserve">Panel (a) shows the marginal age distribution; panel (b)</w:t>
      </w:r>
      <w:r>
        <w:t xml:space="preserve"> </w:t>
      </w:r>
      <w:r>
        <w:t xml:space="preserve">shows a hex-binned joint density of age and income. Both panels use</w:t>
      </w:r>
      <w:r>
        <w:t xml:space="preserve"> </w:t>
      </w:r>
      <w:r>
        <w:t xml:space="preserve">the full analysis sample.</w:t>
      </w:r>
    </w:p>
    <w:bookmarkEnd w:id="38"/>
    <w:bookmarkStart w:id="46" w:name="sec-app-b"/>
    <w:p>
      <w:pPr>
        <w:pStyle w:val="Heading2"/>
      </w:pPr>
      <w:r>
        <w:t xml:space="preserve">Appendix B. Robustness</w:t>
      </w:r>
    </w:p>
    <w:p>
      <w:pPr>
        <w:pStyle w:val="FirstParagraph"/>
      </w:pPr>
      <w:r>
        <w:t xml:space="preserve">This appendix collects robustness exercises. The headline robustness</w:t>
      </w:r>
      <w:r>
        <w:t xml:space="preserve"> </w:t>
      </w:r>
      <w:r>
        <w:t xml:space="preserve">table is</w:t>
      </w:r>
      <w:r>
        <w:t xml:space="preserve"> </w:t>
      </w:r>
      <w:hyperlink w:anchor="apxbtbl-robust">
        <w:r>
          <w:rPr>
            <w:rStyle w:val="Hyperlink"/>
          </w:rPr>
          <w:t xml:space="preserve">Table B1</w:t>
        </w:r>
      </w:hyperlink>
      <w:r>
        <w:t xml:space="preserve">; an alternative specification is reported in</w:t>
      </w:r>
      <w:r>
        <w:t xml:space="preserve"> </w:t>
      </w:r>
      <w:hyperlink w:anchor="apxbtbl-altspec">
        <w:r>
          <w:rPr>
            <w:rStyle w:val="Hyperlink"/>
          </w:rPr>
          <w:t xml:space="preserve">Table B2</w:t>
        </w:r>
      </w:hyperlink>
      <w:r>
        <w:t xml:space="preserve">, the wide event-study table appears in</w:t>
      </w:r>
      <w:r>
        <w:t xml:space="preserve"> </w:t>
      </w:r>
      <w:hyperlink w:anchor="apxbtbl-event">
        <w:r>
          <w:rPr>
            <w:rStyle w:val="Hyperlink"/>
          </w:rPr>
          <w:t xml:space="preserve">Table B3</w:t>
        </w:r>
      </w:hyperlink>
      <w:r>
        <w:t xml:space="preserve">, and a sensitivity plot is shown in</w:t>
      </w:r>
      <w:r>
        <w:t xml:space="preserve"> </w:t>
      </w:r>
      <w:hyperlink w:anchor="apxbfig-sensitivity">
        <w:r>
          <w:rPr>
            <w:rStyle w:val="Hyperlink"/>
          </w:rPr>
          <w:t xml:space="preserve">Figure B1</w:t>
        </w:r>
      </w:hyperlink>
      <w:r>
        <w:t xml:space="preserve">. As in</w:t>
      </w:r>
      <w:r>
        <w:t xml:space="preserve"> </w:t>
      </w:r>
      <w:r>
        <w:t xml:space="preserve">Abadie et al. (2017)</w:t>
      </w:r>
      <w:r>
        <w:t xml:space="preserve"> </w:t>
      </w:r>
      <w:r>
        <w:t xml:space="preserve">we cluster at the relevant</w:t>
      </w:r>
      <w:r>
        <w:t xml:space="preserve"> </w:t>
      </w:r>
      <w:r>
        <w:t xml:space="preserve">unit of treatment assignment.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apxbtbl-robus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B1: Robustness of the main estimate to alternative specifications.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 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Baseline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+ Controls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+ State FE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Policy X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326.286***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314.319***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306.950***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(72.127)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(69.422)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(69.553)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Age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-14.506***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-14.483***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(2.902)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(2.907)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Education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97.899***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98.212***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(11.503)</w:t>
                  </w:r>
                </w:p>
              </w:tc>
              <w:tc>
                <w:tcPr>
                  <w:tcBorders>
                    <w:bottom w:val="single" w:sz="6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(11.492)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Num.Obs.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1200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1200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1200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0.017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0.091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0.101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single" w:sz="12" w:space="0" w:color="666666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* p &lt; 0.1, ** p &lt; 0.05, *** p &lt; 0.01</w:t>
                  </w:r>
                </w:p>
              </w:tc>
            </w:tr>
          </w:tbl>
          <w:bookmarkEnd w:id="39"/>
        </w:tc>
      </w:tr>
    </w:tbl>
    <w:p>
      <w:pPr>
        <w:pStyle w:val="TableNotes"/>
      </w:pPr>
      <w:r>
        <w:rPr>
          <w:i/>
          <w:iCs/>
        </w:rPr>
        <w:t xml:space="preserve">Notes:</w:t>
      </w:r>
      <w:r>
        <w:t xml:space="preserve"> </w:t>
      </w:r>
      <w:r>
        <w:t xml:space="preserve">Standard errors clustered at the state level in parentheses.</w:t>
      </w:r>
      <w:r>
        <w:t xml:space="preserve"> </w:t>
      </w:r>
      <w:r>
        <w:t xml:space="preserve">Controls include age and education. State FE denotes state-level</w:t>
      </w:r>
      <w:r>
        <w:t xml:space="preserve"> </w:t>
      </w:r>
      <w:r>
        <w:t xml:space="preserve">fixed effects (10 states). ***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, **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*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0.1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apxbtbl-altspe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B2: Alternative identification strategies.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 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IV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Matching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Policy X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314.319***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371.057***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6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(69.422)</w:t>
                  </w:r>
                </w:p>
              </w:tc>
              <w:tc>
                <w:tcPr>
                  <w:tcBorders>
                    <w:bottom w:val="single" w:sz="6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(84.440)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Num.Obs.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1200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800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0.091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0.085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3"/>
                  <w:tcBorders>
                    <w:bottom w:val="none" w:sz="0" w:space="0" w:color="FFFFFF"/>
                    <w:top w:val="single" w:sz="12" w:space="0" w:color="666666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* p &lt; 0.1, ** p &lt; 0.05, *** p &lt; 0.01</w:t>
                  </w:r>
                </w:p>
              </w:tc>
            </w:tr>
          </w:tbl>
          <w:bookmarkEnd w:id="40"/>
        </w:tc>
      </w:tr>
    </w:tbl>
    <w:p>
      <w:pPr>
        <w:pStyle w:val="TableNotes"/>
      </w:pPr>
      <w:r>
        <w:rPr>
          <w:i/>
          <w:iCs/>
        </w:rPr>
        <w:t xml:space="preserve">Notes:</w:t>
      </w:r>
      <w:r>
        <w:t xml:space="preserve"> </w:t>
      </w:r>
      <w:r>
        <w:t xml:space="preserve">IV refers to an instrumental-variables design (placeholder</w:t>
      </w:r>
      <w:r>
        <w:t xml:space="preserve"> </w:t>
      </w:r>
      <w:r>
        <w:t xml:space="preserve">specification); Matching restricts the sample to a propensity-score</w:t>
      </w:r>
      <w:r>
        <w:t xml:space="preserve"> </w:t>
      </w:r>
      <w:r>
        <w:t xml:space="preserve">matched subset. Both report the same outcome equation as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A wide event-study table sits awkwardly in portrait orientation, so</w:t>
      </w:r>
      <w:r>
        <w:t xml:space="preserve"> </w:t>
      </w:r>
      <w:r>
        <w:t xml:space="preserve">we rotate it.</w:t>
      </w:r>
      <w:r>
        <w:t xml:space="preserve"> </w:t>
      </w:r>
      <w:hyperlink w:anchor="apxbtbl-event">
        <w:r>
          <w:rPr>
            <w:rStyle w:val="Hyperlink"/>
          </w:rPr>
          <w:t xml:space="preserve">Table B3</w:t>
        </w:r>
      </w:hyperlink>
      <w:r>
        <w:t xml:space="preserve"> </w:t>
      </w:r>
      <w:r>
        <w:t xml:space="preserve">shows the dynamic coefficients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omitted as</w:t>
      </w:r>
      <w:r>
        <w:t xml:space="preserve"> </w:t>
      </w:r>
      <w:r>
        <w:t xml:space="preserve">the reference period).</w:t>
      </w:r>
    </w:p>
    <w:p>
      <w:pPr>
        <w:sectPr>
          <w:pgSz w:w="11906" w:h="16838"/>
          <w:pgMar w:top="1440" w:right="1440" w:bottom="1440" w:left="1440" w:header="720" w:footer="720" w:gutter="0"/>
          <w:cols w:space="720"/>
        </w:sectPr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apxbtbl-eve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B3: Event-study coefficients for relative periods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 </w:t>
                  </w:r>
                </w:p>
              </w:tc>
              <w:tc>
                <w:tcPr>
                  <w:gridSpan w:val="5"/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Specification</w:t>
                  </w:r>
                </w:p>
              </w:tc>
            </w:t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Relative period ($k$)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Baseline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+ Controls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+ State FE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Weighted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Log-income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$k = -3$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-0.012 (0.041)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-0.010 (0.039)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-0.008 (0.044)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-0.014 (0.040)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-0.011 (0.042)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$k = -2$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0.008 (0.038)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0.005 (0.036)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0.004 (0.041)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0.007 (0.037)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0.009 (0.039)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$k = -1$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(omitted)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(omitted)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(omitted)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(omitted)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(omitted)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$k = 0$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0.118 (0.040)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0.115 (0.038)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0.113 (0.045)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0.116 (0.039)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0.119 (0.041)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$k = 1$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0.124 (0.041)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0.121 (0.039)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0.119 (0.046)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0.122 (0.040)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0.125 (0.042)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$k = 2$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0.131 (0.043)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0.128 (0.041)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0.126 (0.048)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0.130 (0.042)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0.132 (0.044)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$k = 3$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0.129 (0.046)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0.126 (0.044)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0.124 (0.050)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0.128 (0.045)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20" w:before="20" w:line="240"/>
                    <w:ind w:left="80" w:right="80" w:firstLine="0" w:firstLineChars="0"/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Times New Roman" w:hAnsi="Times New Roman" w:eastAsia="Times New Roman" w:cs="Times New Roman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0.130 (0.047)</w:t>
                  </w:r>
                </w:p>
              </w:tc>
            </w:tr>
          </w:tbl>
          <w:bookmarkEnd w:id="41"/>
        </w:tc>
      </w:tr>
    </w:tbl>
    <w:p>
      <w:pPr>
        <w:pStyle w:val="TableNotes"/>
      </w:pPr>
      <w:r>
        <w:rPr>
          <w:i/>
          <w:iCs/>
        </w:rPr>
        <w:t xml:space="preserve">Notes:</w:t>
      </w:r>
      <w:r>
        <w:t xml:space="preserve"> </w:t>
      </w:r>
      <w:r>
        <w:t xml:space="preserve">Each cell reports the estimated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q-baseli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standard errors in parentheses.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omitted</w:t>
      </w:r>
      <w:r>
        <w:t xml:space="preserve"> </w:t>
      </w:r>
      <w:r>
        <w:t xml:space="preserve">as the reference period. Weighted uses sampling weights;</w:t>
      </w:r>
      <w:r>
        <w:t xml:space="preserve"> </w:t>
      </w:r>
      <w:r>
        <w:t xml:space="preserve">Log-income uses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the dependent variable. Sample as in</w:t>
      </w:r>
      <w:r>
        <w:t xml:space="preserve"> </w:t>
      </w:r>
      <w:hyperlink w:anchor="apxatbl-summary">
        <w:r>
          <w:rPr>
            <w:rStyle w:val="Hyperlink"/>
          </w:rPr>
          <w:t xml:space="preserve">Table A1</w:t>
        </w:r>
      </w:hyperlink>
      <w:r>
        <w:t xml:space="preserve">.</w:t>
      </w:r>
    </w:p>
    <w:p>
      <w:pPr>
        <w:sectPr>
          <w:pgSz w:w="16838" w:h="11906" w:orient="landscape"/>
          <w:pgMar w:top="1440" w:right="1440" w:bottom="1440" w:left="1440" w:header="720" w:footer="720" w:gutter="0"/>
          <w:cols w:space="720"/>
        </w:sectPr>
      </w:pPr>
    </w:p>
    <w:p>
      <w:pPr>
        <w:pStyle w:val="BodyText"/>
      </w:pPr>
      <w:r>
        <w:t xml:space="preserve">A coefficient plot of the dynamic estimates is shown in</w:t>
      </w:r>
      <w:r>
        <w:t xml:space="preserve"> </w:t>
      </w:r>
      <w:hyperlink w:anchor="apxbfig-sensitivity">
        <w:r>
          <w:rPr>
            <w:rStyle w:val="Hyperlink"/>
          </w:rPr>
          <w:t xml:space="preserve">Figure B1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apxbfig-sensitivity"/>
          <w:p>
            <w:pPr>
              <w:jc w:val="center"/>
            </w:pPr>
            <w:r>
              <w:drawing>
                <wp:inline>
                  <wp:extent cx="4587290" cy="275237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templat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275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B1: Event-study coefficients, baseline specification.</w:t>
            </w:r>
          </w:p>
          <w:bookmarkEnd w:id="45"/>
        </w:tc>
      </w:tr>
    </w:tbl>
    <w:p>
      <w:pPr>
        <w:pStyle w:val="TableNotes"/>
      </w:pPr>
      <w:r>
        <w:rPr>
          <w:i/>
          <w:iCs/>
        </w:rPr>
        <w:t xml:space="preserve">Notes:</w:t>
      </w:r>
      <w:r>
        <w:t xml:space="preserve"> </w:t>
      </w:r>
      <w:r>
        <w:t xml:space="preserve">Markers report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; whiskers denote 95 percent</w:t>
      </w:r>
      <w:r>
        <w:t xml:space="preserve"> </w:t>
      </w:r>
      <w:r>
        <w:t xml:space="preserve">confidence intervals constructed from state-clustered standard</w:t>
      </w:r>
      <w:r>
        <w:t xml:space="preserve"> </w:t>
      </w:r>
      <w:r>
        <w:t xml:space="preserve">errors. Dashed line marks the omitted reference period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).</w:t>
      </w:r>
    </w:p>
    <w:bookmarkEnd w:id="46"/>
    <w:bookmarkStart w:id="50" w:name="appendix-references"/>
    <w:p>
      <w:pPr>
        <w:pStyle w:val="Heading2"/>
      </w:pPr>
      <w:r>
        <w:t xml:space="preserve">Appendix References</w:t>
      </w:r>
    </w:p>
    <w:bookmarkStart w:id="49" w:name="refs-appendix"/>
    <w:bookmarkStart w:id="47" w:name="ref-abadie2017"/>
    <w:p>
      <w:pPr>
        <w:pStyle w:val="Bibliography"/>
      </w:pPr>
      <w:r>
        <w:t xml:space="preserve">Abadie, Alberto, Susan Athey, Guido W. Imbens, and Jeffrey M. Wooldridge. 2017.</w:t>
      </w:r>
      <w:r>
        <w:t xml:space="preserve"> </w:t>
      </w:r>
      <w:r>
        <w:t xml:space="preserve">“When Should You Adjust Standard Errors for Clustering?”</w:t>
      </w:r>
      <w:r>
        <w:t xml:space="preserve"> </w:t>
      </w:r>
      <w:r>
        <w:rPr>
          <w:i/>
          <w:iCs/>
        </w:rPr>
        <w:t xml:space="preserve">NBER Working Paper</w:t>
      </w:r>
      <w:r>
        <w:t xml:space="preserve">, no. 24003.</w:t>
      </w:r>
    </w:p>
    <w:bookmarkEnd w:id="47"/>
    <w:bookmarkStart w:id="48" w:name="ref-cameron2015"/>
    <w:p>
      <w:pPr>
        <w:pStyle w:val="Bibliography"/>
      </w:pPr>
      <w:r>
        <w:t xml:space="preserve">Cameron, A. Colin, and Douglas L. Miller. 2015.</w:t>
      </w:r>
      <w:r>
        <w:t xml:space="preserve"> </w:t>
      </w:r>
      <w:r>
        <w:t xml:space="preserve">“A Practitioner’s Guide to Cluster-Robust Inference.”</w:t>
      </w:r>
      <w:r>
        <w:t xml:space="preserve"> </w:t>
      </w:r>
      <w:r>
        <w:rPr>
          <w:i/>
          <w:iCs/>
        </w:rPr>
        <w:t xml:space="preserve">Journal of Human Resources</w:t>
      </w:r>
      <w:r>
        <w:t xml:space="preserve"> </w:t>
      </w:r>
      <w:r>
        <w:t xml:space="preserve">50: 317–72.</w:t>
      </w:r>
    </w:p>
    <w:bookmarkEnd w:id="48"/>
    <w:bookmarkEnd w:id="49"/>
    <w:bookmarkEnd w:id="50"/>
    <w:bookmarkEnd w:id="51"/>
    <w:sect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All tables and figures in this demo are computed from a</w:t>
      </w:r>
      <w:r>
        <w:t xml:space="preserve"> </w:t>
      </w:r>
      <w:r>
        <w:t xml:space="preserve">simulated dataset of 1,200 observations</w:t>
      </w:r>
      <w:r>
        <w:t xml:space="preserve"> </w:t>
      </w:r>
      <w:r>
        <w:t xml:space="preserve">generated in the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chunk; the empirical numbers should be</w:t>
      </w:r>
      <w:r>
        <w:t xml:space="preserve"> </w:t>
      </w:r>
      <w:r>
        <w:t xml:space="preserve">read as illustrative.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 use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for unit (typically individual or firm)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for period. The notation follows</w:t>
      </w:r>
      <w:r>
        <w:t xml:space="preserve"> </w:t>
      </w:r>
      <w:r>
        <w:t xml:space="preserve">Angrist and Pischke (2009)</w:t>
      </w:r>
      <w:r>
        <w:t xml:space="preserve">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Wild cluster bootstrap with 999 replications, following</w:t>
      </w:r>
      <w:r>
        <w:t xml:space="preserve"> </w:t>
      </w:r>
      <w:r>
        <w:t xml:space="preserve">Cameron and Miller (2015)</w:t>
      </w:r>
      <w:r>
        <w:t xml:space="preserve">. Results are available on request.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bidi="ar-SA" w:eastAsia="en-US" w:val="en-AU"/>
      </w:rPr>
    </w:rPrDefault>
    <w:pPrDefault>
      <w:pPr>
        <w:spacing w:after="0" w:before="0" w:line="360" w:lineRule="auto"/>
        <w:jc w:val="both"/>
      </w:pPr>
    </w:pPrDefault>
  </w:docDefaults>
  <w:style w:default="1" w:styleId="Normal" w:type="paragraph">
    <w:name w:val="Normal"/>
    <w:qFormat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pPr>
      <w:spacing w:after="0" w:before="0" w:line="360" w:lineRule="auto"/>
      <w:jc w:val="both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FirstParagraph" w:type="paragraph">
    <w:name w:val="First Paragraph"/>
    <w:basedOn w:val="BodyText"/>
    <w:pPr>
      <w:spacing w:after="0" w:before="0" w:line="360" w:lineRule="auto"/>
      <w:jc w:val="both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Compact" w:type="paragraph">
    <w:name w:val="Compact"/>
    <w:basedOn w:val="BodyText"/>
    <w:pPr>
      <w:spacing w:after="0" w:before="0" w:line="240" w:lineRule="auto"/>
      <w:jc w:val="both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1" w:type="paragraph">
    <w:name w:val="heading 1"/>
    <w:basedOn w:val="Normal"/>
    <w:next w:val="BodyText"/>
    <w:link w:val="Heading1Char"/>
    <w:pPr>
      <w:spacing w:after="240" w:before="240" w:line="360" w:lineRule="auto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pPr>
      <w:spacing w:after="120" w:before="120" w:line="360" w:lineRule="auto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pPr>
      <w:spacing w:after="0" w:before="120" w:line="360" w:lineRule="auto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pPr>
      <w:spacing w:after="0" w:before="120" w:line="360" w:lineRule="auto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pPr>
      <w:spacing w:after="0" w:before="120" w:line="360" w:lineRule="auto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pPr>
      <w:spacing w:after="0" w:before="120" w:line="360" w:lineRule="auto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pPr>
      <w:spacing w:after="0" w:before="120" w:line="360" w:lineRule="auto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8" w:type="paragraph">
    <w:name w:val="heading 8"/>
    <w:basedOn w:val="Normal"/>
    <w:next w:val="BodyText"/>
    <w:link w:val="Heading8Char"/>
    <w:pPr>
      <w:spacing w:after="0" w:before="120" w:line="360" w:lineRule="auto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9" w:type="paragraph">
    <w:name w:val="heading 9"/>
    <w:basedOn w:val="Normal"/>
    <w:next w:val="BodyText"/>
    <w:link w:val="Heading9Char"/>
    <w:pPr>
      <w:spacing w:after="0" w:before="120" w:line="360" w:lineRule="auto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1Char" w:type="character">
    <w:name w:val="Heading 1 Char"/>
    <w:basedOn w:val="DefaultParagraphFont"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Char" w:type="character">
    <w:name w:val="Heading 2 Char"/>
    <w:basedOn w:val="DefaultParagraphFont"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Char" w:type="character">
    <w:name w:val="Heading 3 Char"/>
    <w:basedOn w:val="DefaultParagraphFont"/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styleId="Heading4Char" w:type="character">
    <w:name w:val="Heading 4 Char"/>
    <w:basedOn w:val="DefaultParagraphFont"/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5Char" w:type="character">
    <w:name w:val="Heading 5 Char"/>
    <w:basedOn w:val="DefaultParagraphFont"/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6Char" w:type="character">
    <w:name w:val="Heading 6 Char"/>
    <w:basedOn w:val="DefaultParagraphFont"/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7Char" w:type="character">
    <w:name w:val="Heading 7 Char"/>
    <w:basedOn w:val="DefaultParagraphFont"/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8Char" w:type="character">
    <w:name w:val="Heading 8 Char"/>
    <w:basedOn w:val="DefaultParagraphFont"/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Heading9Char" w:type="character">
    <w:name w:val="Heading 9 Char"/>
    <w:basedOn w:val="DefaultParagraphFont"/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Title" w:type="paragraph">
    <w:name w:val="Title"/>
    <w:basedOn w:val="Normal"/>
    <w:next w:val="Author"/>
    <w:pPr>
      <w:spacing w:after="240" w:before="0" w:line="360" w:lineRule="auto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Subtitle" w:type="paragraph">
    <w:name w:val="Subtitle"/>
    <w:basedOn w:val="Normal"/>
    <w:next w:val="Author"/>
    <w:pPr>
      <w:spacing w:after="120" w:before="0" w:line="360" w:lineRule="auto"/>
      <w:jc w:val="center"/>
    </w:pPr>
    <w:rPr>
      <w:rFonts w:ascii="Times New Roman" w:cs="Times New Roman" w:eastAsia="Times New Roman" w:hAnsi="Times New Roman"/>
      <w:i/>
      <w:iCs/>
      <w:color w:val="000000"/>
      <w:sz w:val="26"/>
      <w:szCs w:val="26"/>
    </w:rPr>
  </w:style>
  <w:style w:styleId="Author" w:type="paragraph">
    <w:name w:val="Author"/>
    <w:basedOn w:val="Normal"/>
    <w:next w:val="BodyText"/>
    <w:pPr>
      <w:spacing w:after="120" w:before="0" w:line="36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Date" w:type="paragraph">
    <w:name w:val="Date"/>
    <w:basedOn w:val="Normal"/>
    <w:next w:val="BodyText"/>
    <w:pPr>
      <w:spacing w:after="120" w:before="0" w:line="36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Abstract" w:type="paragraph">
    <w:name w:val="Abstract"/>
    <w:basedOn w:val="Normal"/>
    <w:next w:val="BodyText"/>
    <w:pPr>
      <w:spacing w:after="120" w:before="0" w:line="360" w:lineRule="auto"/>
      <w:jc w:val="both"/>
    </w:pPr>
    <w:rPr>
      <w:rFonts w:ascii="Times New Roman" w:cs="Times New Roman" w:eastAsia="Times New Roman" w:hAnsi="Times New Roman"/>
      <w:color w:val="000000"/>
      <w:sz w:val="22"/>
      <w:szCs w:val="22"/>
    </w:rPr>
  </w:style>
  <w:style w:styleId="AbstractTitle" w:type="paragraph">
    <w:name w:val="Abstract Title"/>
    <w:basedOn w:val="Heading2"/>
    <w:next w:val="Abstract"/>
    <w:pPr>
      <w:spacing w:after="120" w:before="120" w:line="360" w:lineRule="auto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Caption" w:type="paragraph">
    <w:name w:val="caption"/>
    <w:basedOn w:val="Normal"/>
    <w:next w:val="BodyText"/>
    <w:pPr>
      <w:spacing w:after="120" w:before="120" w:line="36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ImageCaption" w:type="paragraph">
    <w:name w:val="Image Caption"/>
    <w:basedOn w:val="Caption"/>
    <w:next w:val="BodyText"/>
    <w:pPr>
      <w:spacing w:after="120" w:before="120" w:line="36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TableCaption" w:type="paragraph">
    <w:name w:val="Table Caption"/>
    <w:basedOn w:val="Caption"/>
    <w:next w:val="BodyText"/>
    <w:pPr>
      <w:spacing w:after="120" w:before="120" w:line="360" w:lineRule="auto"/>
      <w:jc w:val="center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TableNotes" w:type="paragraph">
    <w:name w:val="Table Notes"/>
    <w:basedOn w:val="Normal"/>
    <w:next w:val="BodyText"/>
    <w:pPr>
      <w:spacing w:after="0" w:before="0" w:line="240" w:lineRule="auto"/>
      <w:jc w:val="both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lockText" w:type="paragraph">
    <w:name w:val="Block Text"/>
    <w:basedOn w:val="Normal"/>
    <w:next w:val="BodyText"/>
    <w:pPr>
      <w:spacing w:after="120" w:before="120" w:line="360" w:lineRule="auto"/>
      <w:jc w:val="both"/>
      <w:ind w:left="720" w:right="720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Quote" w:type="paragraph">
    <w:name w:val="Quote"/>
    <w:basedOn w:val="BlockText"/>
    <w:next w:val="BodyText"/>
    <w:pPr>
      <w:spacing w:after="120" w:before="120" w:line="360" w:lineRule="auto"/>
      <w:jc w:val="both"/>
      <w:ind w:left="720" w:right="720"/>
    </w:pPr>
    <w:rPr>
      <w:rFonts w:ascii="Times New Roman" w:cs="Times New Roman" w:eastAsia="Times New Roman" w:hAnsi="Times New Roman"/>
      <w:i/>
      <w:iCs/>
      <w:color w:val="000000"/>
      <w:sz w:val="24"/>
      <w:szCs w:val="24"/>
    </w:rPr>
  </w:style>
  <w:style w:styleId="FootnoteText" w:type="paragraph">
    <w:name w:val="footnote text"/>
    <w:basedOn w:val="Normal"/>
    <w:next w:val="BodyText"/>
    <w:link w:val="FootnoteTextChar"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FootnoteTextChar" w:type="character">
    <w:name w:val="Footnote Text Char"/>
    <w:basedOn w:val="DefaultParagraphFont"/>
    <w:rPr>
      <w:rFonts w:ascii="Times New Roman" w:cs="Times New Roman" w:eastAsia="Times New Roman" w:hAnsi="Times New Roman"/>
      <w:color w:val="000000"/>
      <w:sz w:val="20"/>
      <w:szCs w:val="20"/>
    </w:rPr>
  </w:style>
  <w:style w:styleId="FootnoteReference" w:type="character">
    <w:name w:val="footnote reference"/>
    <w:basedOn w:val="DefaultParagraphFont"/>
    <w:uiPriority w:val="99"/>
    <w:rPr>
      <w:vertAlign w:val="superscript"/>
    </w:rPr>
  </w:style>
  <w:style w:styleId="Bibliography" w:type="paragraph">
    <w:name w:val="Bibliography"/>
    <w:basedOn w:val="Normal"/>
    <w:next w:val="BodyText"/>
    <w:pPr>
      <w:spacing w:after="120" w:before="0" w:line="240" w:lineRule="auto"/>
      <w:ind w:hanging="720" w:left="72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SourceCode" w:type="paragraph">
    <w:name w:val="Source Code"/>
    <w:basedOn w:val="Normal"/>
    <w:next w:val="BodyText"/>
    <w:pPr>
      <w:spacing w:after="0" w:before="0" w:line="240" w:lineRule="auto"/>
    </w:pPr>
    <w:rPr>
      <w:rFonts w:ascii="Courier New" w:cs="Courier New" w:eastAsia="Courier New" w:hAnsi="Courier New"/>
      <w:color w:val="000000"/>
      <w:sz w:val="20"/>
      <w:szCs w:val="20"/>
    </w:rPr>
  </w:style>
  <w:style w:styleId="VerbatimChar" w:type="character">
    <w:name w:val="Verbatim Char"/>
    <w:basedOn w:val="DefaultParagraphFont"/>
    <w:rPr>
      <w:rFonts w:ascii="Courier New" w:cs="Courier New" w:eastAsia="Courier New" w:hAnsi="Courier New"/>
      <w:color w:val="000000"/>
      <w:sz w:val="20"/>
      <w:szCs w:val="20"/>
    </w:rPr>
  </w:style>
  <w:style w:styleId="ListParagraph" w:type="paragraph">
    <w:name w:val="List Paragraph"/>
    <w:basedOn w:val="Normal"/>
    <w:next w:val="ListParagraph"/>
    <w:pPr>
      <w:spacing w:after="0" w:before="0" w:line="360" w:lineRule="auto"/>
      <w:jc w:val="both"/>
      <w:ind w:left="72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yperlink" w:type="character">
    <w:name w:val="Hyperlink"/>
    <w:basedOn w:val="DefaultParagraphFont"/>
    <w:uiPriority w:val="99"/>
    <w:rPr>
      <w:color w:val="0563C1"/>
    </w:rPr>
  </w:style>
  <w:style w:styleId="Table" w:type="table">
    <w:name w:val="Table"/>
    <w:basedOn w:val="TableNormal"/>
    <w:tblPr/>
  </w:style>
  <w:style w:type="paragraph" w:customStyle="1" w:styleId="TableNotes">
    <w:name w:val="TableNotes"/>
    <w:basedOn w:val="BodyText"/>
    <w:qFormat/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paper title here</dc:title>
  <dc:creator>First Author (Department of Economics, University X); Second Author (University Y)</dc:creator>
  <cp:keywords>keyword1, keyword2</cp:keywords>
  <dcterms:created xsi:type="dcterms:W3CDTF">2026-05-18T10:32:00Z</dcterms:created>
  <dcterms:modified xsi:type="dcterms:W3CDTF">2026-05-18T10:32:00Z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Your abstract.</vt:lpwstr>
  </property>
  <property fmtid="{D5CDD505-2E9C-101B-9397-08002B2CF9AE}" pid="3" name="affiliations">
    <vt:lpwstr/>
  </property>
  <property fmtid="{D5CDD505-2E9C-101B-9397-08002B2CF9AE}" pid="4" name="author-format">
    <vt:lpwstr>horizontal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date">
    <vt:lpwstr>2026-05-18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multibib-bibliography">
    <vt:lpwstr/>
  </property>
  <property fmtid="{D5CDD505-2E9C-101B-9397-08002B2CF9AE}" pid="17" name="revealjs-plugins">
    <vt:lpwstr/>
  </property>
  <property fmtid="{D5CDD505-2E9C-101B-9397-08002B2CF9AE}" pid="18" name="title-footnote">
    <vt:lpwstr>Footnote attached to the title (acknowledgements, funding sources, etc.). Remove this key if you don’t want a title footnote.</vt:lpwstr>
  </property>
  <property fmtid="{D5CDD505-2E9C-101B-9397-08002B2CF9AE}" pid="19" name="toc-title">
    <vt:lpwstr>Table of contents</vt:lpwstr>
  </property>
</Properties>
</file>