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center"/>
      </w:pPr>
      <w:r>
        <w:rPr>
          <w:rFonts w:ascii="Times New Roman" w:hAnsi="Times New Roman"/>
          <w:b/>
          <w:sz w:val="28"/>
        </w:rPr>
        <w:t>MUTUAL NON-DISCLOSURE AGREEMENT</w:t>
      </w:r>
    </w:p>
    <w:p>
      <w:pPr>
        <w:spacing w:after="240"/>
      </w:pPr>
      <w:r>
        <w:rPr>
          <w:rFonts w:ascii="Times New Roman" w:hAnsi="Times New Roman"/>
          <w:b w:val="0"/>
          <w:sz w:val="22"/>
        </w:rPr>
        <w:t>THIS MUTUAL NON-DISCLOSURE AGREEMENT</w:t>
      </w:r>
      <w:r>
        <w:rPr>
          <w:rFonts w:ascii="Times New Roman" w:hAnsi="Times New Roman"/>
          <w:b w:val="0"/>
          <w:sz w:val="22"/>
        </w:rPr>
        <w:t xml:space="preserve"> (“Agreement”)</w:t>
      </w:r>
      <w:r>
        <w:rPr>
          <w:rFonts w:ascii="Times New Roman" w:hAnsi="Times New Roman"/>
          <w:b w:val="0"/>
          <w:sz w:val="22"/>
        </w:rPr>
        <w:t xml:space="preserve"> is made by and between </w:t>
      </w:r>
      <w:r>
        <w:rPr>
          <w:rFonts w:ascii="Times New Roman" w:hAnsi="Times New Roman"/>
          <w:b/>
          <w:sz w:val="22"/>
        </w:rPr>
        <w:t>FIL One LLC</w:t>
      </w:r>
      <w:r>
        <w:rPr>
          <w:rFonts w:ascii="Times New Roman" w:hAnsi="Times New Roman"/>
          <w:b w:val="0"/>
          <w:sz w:val="22"/>
        </w:rPr>
        <w:t>, a Delaware limited liability company, on behalf of itself and its Affiliates (as defined below) (ATTN: email: m@fil.org; address: 600 N Broad Street, Suite 5, Middletown, DE 19709) (“</w:t>
      </w:r>
      <w:r>
        <w:rPr>
          <w:rFonts w:ascii="Times New Roman" w:hAnsi="Times New Roman"/>
          <w:b/>
          <w:sz w:val="22"/>
        </w:rPr>
        <w:t>FIL One</w:t>
      </w:r>
      <w:r>
        <w:rPr>
          <w:rFonts w:ascii="Times New Roman" w:hAnsi="Times New Roman"/>
          <w:b w:val="0"/>
          <w:sz w:val="22"/>
        </w:rPr>
        <w:t xml:space="preserve">”), and </w:t>
      </w:r>
      <w:r>
        <w:rPr>
          <w:rFonts w:ascii="Times New Roman" w:hAnsi="Times New Roman"/>
          <w:b/>
          <w:sz w:val="22"/>
        </w:rPr>
        <w:t>[Counterparty Legal Name]</w:t>
      </w:r>
      <w:r>
        <w:rPr>
          <w:rFonts w:ascii="Times New Roman" w:hAnsi="Times New Roman"/>
          <w:b w:val="0"/>
          <w:sz w:val="22"/>
        </w:rPr>
        <w:t>, a [jurisdiction / entity type, e.g., Delaware corporation] (ATTN: [Counterparty email]; address: [Counterparty address for notices]) (“</w:t>
      </w:r>
      <w:r>
        <w:rPr>
          <w:rFonts w:ascii="Times New Roman" w:hAnsi="Times New Roman"/>
          <w:b/>
          <w:sz w:val="22"/>
        </w:rPr>
        <w:t>[Counterparty Short Name]</w:t>
      </w:r>
      <w:r>
        <w:rPr>
          <w:rFonts w:ascii="Times New Roman" w:hAnsi="Times New Roman"/>
          <w:b w:val="0"/>
          <w:sz w:val="22"/>
        </w:rPr>
        <w:t>”). The undersigned are referred to herein individually as a “</w:t>
      </w:r>
      <w:r>
        <w:rPr>
          <w:rFonts w:ascii="Times New Roman" w:hAnsi="Times New Roman"/>
          <w:b/>
          <w:sz w:val="22"/>
        </w:rPr>
        <w:t>Party</w:t>
      </w:r>
      <w:r>
        <w:rPr>
          <w:rFonts w:ascii="Times New Roman" w:hAnsi="Times New Roman"/>
          <w:b w:val="0"/>
          <w:sz w:val="22"/>
        </w:rPr>
        <w:t>” and collectively as the “</w:t>
      </w:r>
      <w:r>
        <w:rPr>
          <w:rFonts w:ascii="Times New Roman" w:hAnsi="Times New Roman"/>
          <w:b/>
          <w:sz w:val="22"/>
        </w:rPr>
        <w:t>Parties</w:t>
      </w:r>
      <w:r>
        <w:rPr>
          <w:rFonts w:ascii="Times New Roman" w:hAnsi="Times New Roman"/>
          <w:b w:val="0"/>
          <w:sz w:val="22"/>
        </w:rPr>
        <w:t xml:space="preserve">.” This Agreement is effective as of </w:t>
      </w:r>
      <w:r>
        <w:rPr>
          <w:rFonts w:ascii="Times New Roman" w:hAnsi="Times New Roman"/>
          <w:b/>
          <w:sz w:val="22"/>
        </w:rPr>
        <w:t>[Effective Date]</w:t>
      </w:r>
      <w:r>
        <w:rPr>
          <w:rFonts w:ascii="Times New Roman" w:hAnsi="Times New Roman"/>
          <w:b w:val="0"/>
          <w:sz w:val="22"/>
        </w:rPr>
        <w:t xml:space="preserve"> (“</w:t>
      </w:r>
      <w:r>
        <w:rPr>
          <w:rFonts w:ascii="Times New Roman" w:hAnsi="Times New Roman"/>
          <w:b/>
          <w:sz w:val="22"/>
        </w:rPr>
        <w:t>Effective Date</w:t>
      </w:r>
      <w:r>
        <w:rPr>
          <w:rFonts w:ascii="Times New Roman" w:hAnsi="Times New Roman"/>
          <w:b w:val="0"/>
          <w:sz w:val="22"/>
        </w:rPr>
        <w:t>”).</w:t>
      </w:r>
    </w:p>
    <w:p>
      <w:pPr>
        <w:spacing w:after="200" w:before="0"/>
      </w:pPr>
      <w:r>
        <w:rPr>
          <w:rFonts w:ascii="Times New Roman" w:hAnsi="Times New Roman"/>
          <w:b w:val="0"/>
          <w:sz w:val="22"/>
        </w:rPr>
        <w:t>The Parties agree as follows:</w:t>
      </w:r>
    </w:p>
    <w:p>
      <w:pPr>
        <w:spacing w:after="200" w:before="0"/>
      </w:pPr>
      <w:r>
        <w:rPr/>
        <w:t>For purposes of this Agreement, “</w:t>
      </w:r>
      <w:r>
        <w:rPr>
          <w:b/>
        </w:rPr>
        <w:t>Affiliate</w:t>
      </w:r>
      <w:r>
        <w:rPr/>
        <w:t>” means any entity that directly or indirectly controls, is controlled by, or is under common control with FIL One LLC. For purposes of this definition, “</w:t>
      </w:r>
      <w:r>
        <w:rPr>
          <w:b/>
        </w:rPr>
        <w:t>control</w:t>
      </w:r>
      <w:r>
        <w:rPr/>
        <w:t>” means ownership, directly or indirectly, of more than fifty percent (50%) of the voting interests of an entity or the power to direct the management and policies of an entity; provided that an entity shall be an Affiliate only for so long as such control exists. FIL One may disclose Confidential Information to, and receive Confidential Information on behalf of, its Affiliates, and each such Affiliate shall be entitled to the protections and subject to the obligations applicable to FIL One under this Agreement.</w:t>
      </w:r>
    </w:p>
    <w:p>
      <w:pPr>
        <w:spacing w:after="160"/>
      </w:pPr>
      <w:r>
        <w:rPr>
          <w:rFonts w:ascii="Times New Roman" w:hAnsi="Times New Roman"/>
          <w:b/>
          <w:sz w:val="22"/>
        </w:rPr>
        <w:t>1.</w:t>
        <w:tab/>
        <w:t xml:space="preserve">Purpose. </w:t>
      </w:r>
      <w:r>
        <w:rPr>
          <w:rFonts w:ascii="Times New Roman" w:hAnsi="Times New Roman"/>
          <w:b w:val="0"/>
          <w:sz w:val="22"/>
        </w:rPr>
        <w:t>The Parties wish to explore a business opportunity of mutual interest (the “</w:t>
      </w:r>
      <w:r>
        <w:rPr>
          <w:rFonts w:ascii="Times New Roman" w:hAnsi="Times New Roman"/>
          <w:b/>
          <w:sz w:val="22"/>
        </w:rPr>
        <w:t>Opportunity</w:t>
      </w:r>
      <w:r>
        <w:rPr>
          <w:rFonts w:ascii="Times New Roman" w:hAnsi="Times New Roman"/>
          <w:b w:val="0"/>
          <w:sz w:val="22"/>
        </w:rPr>
        <w:t>”), and in connection with the Opportunity, each Party may disclose to the other Confidential Information (as defined below) that the receiving Party must treat as confidential as set forth below (such Party, when receiving such Confidential Information, being the “</w:t>
      </w:r>
      <w:r>
        <w:rPr>
          <w:rFonts w:ascii="Times New Roman" w:hAnsi="Times New Roman"/>
          <w:b/>
          <w:sz w:val="22"/>
        </w:rPr>
        <w:t>Receiving Party</w:t>
      </w:r>
      <w:r>
        <w:rPr>
          <w:rFonts w:ascii="Times New Roman" w:hAnsi="Times New Roman"/>
          <w:b w:val="0"/>
          <w:sz w:val="22"/>
        </w:rPr>
        <w:t>” and when disclosing such Confidential Information, being the “</w:t>
      </w:r>
      <w:r>
        <w:rPr>
          <w:rFonts w:ascii="Times New Roman" w:hAnsi="Times New Roman"/>
          <w:b/>
          <w:sz w:val="22"/>
        </w:rPr>
        <w:t>Disclosing Party</w:t>
      </w:r>
      <w:r>
        <w:rPr>
          <w:rFonts w:ascii="Times New Roman" w:hAnsi="Times New Roman"/>
          <w:b w:val="0"/>
          <w:sz w:val="22"/>
        </w:rPr>
        <w:t>”).</w:t>
      </w:r>
    </w:p>
    <w:p>
      <w:pPr>
        <w:spacing w:after="160"/>
      </w:pPr>
      <w:r>
        <w:rPr>
          <w:rFonts w:ascii="Times New Roman" w:hAnsi="Times New Roman"/>
          <w:b/>
          <w:sz w:val="22"/>
        </w:rPr>
        <w:t>2.</w:t>
        <w:tab/>
        <w:t xml:space="preserve">“Confidential Information” </w:t>
      </w:r>
      <w:r>
        <w:rPr>
          <w:rFonts w:ascii="Times New Roman" w:hAnsi="Times New Roman"/>
          <w:b w:val="0"/>
          <w:sz w:val="22"/>
        </w:rPr>
        <w:t>means all items, materials, information and data disclosed by either Party to the other Party before, on or after the Effective Date in connection with the Opportunity and either directly or indirectly, in writing, orally, electronically, or by inspection, or in any other tangible or intangible form, including, without limitation, algorithms, business plans, roadmaps, customer data, customer lists, customer names, designs, documents, drawings, engineering information, financial analysis, forecasts, results, formulas, hardware configuration information, know-how, ideas, inventions, market information, marketing plans, processes, products, product plans, research, specifications, software, source code, trade secrets, organizational structure and internal practices, unpublished patent applications, prototypes, ideas, methods, techniques, processes, programs, or any other information which is either (i) designated as “confidential,” “proprietary” or some similar designation or (ii) which by its form, nature, content, or mode of transmission would be deemed confidential or proprietary by a reasonable recipient. Confidential Information shall include: (a) the fact that the Parties are in discussions regarding the Opportunity; (b) the fact that Confidential Information has been disclosed between the Parties; and (c) any terms, conditions or arrangements discussed between the Parties.</w:t>
      </w:r>
    </w:p>
    <w:p>
      <w:pPr>
        <w:spacing w:after="160" w:before="0"/>
      </w:pPr>
      <w:r>
        <w:rPr>
          <w:rFonts w:ascii="Times New Roman" w:hAnsi="Times New Roman"/>
          <w:b w:val="0"/>
          <w:sz w:val="22"/>
        </w:rPr>
        <w:t>Confidential Information shall not, however, include any information that (i) was publicly known and made generally available in the public domain prior to the time of disclosure by the Disclosing Party; (ii) becomes publicly known and made generally available after disclosure by the Disclosing Party to the Receiving Party through no action or inaction of the Receiving Party; (iii) is already in the possession of the Receiving Party at the time of disclosure by the Disclosing Party; (iv) is obtained by the Receiving Party from a third party lawfully in possession of such information and not under a duty of confidentiality with respect to such information; or (v) is independently developed by the Receiving Party without use of or reference to the Disclosing Party’s Confidential Information.</w:t>
      </w:r>
    </w:p>
    <w:p>
      <w:pPr>
        <w:spacing w:after="160" w:before="0"/>
      </w:pPr>
      <w:r>
        <w:rPr>
          <w:rFonts w:ascii="Times New Roman" w:hAnsi="Times New Roman"/>
          <w:b w:val="0"/>
          <w:sz w:val="22"/>
        </w:rPr>
        <w:t>Notwithstanding the foregoing, information disclosed orally, visually, or by inspection shall be considered Confidential Information only if (a) identified as confidential at the time of disclosure and (b) summarized in a writing marked “Confidential” and delivered to the Receiving Party within thirty (30) days of such disclosure. Information disclosed in tangible or electronic form shall be considered Confidential Information only if marked or otherwise identified as confidential, or if a reasonable person would understand it to be confidential given its nature and the circumstances of disclosure.</w:t>
      </w:r>
    </w:p>
    <w:p>
      <w:pPr>
        <w:spacing w:after="160"/>
      </w:pPr>
      <w:r>
        <w:rPr>
          <w:rFonts w:ascii="Times New Roman" w:hAnsi="Times New Roman"/>
          <w:b/>
          <w:sz w:val="22"/>
        </w:rPr>
        <w:t>3.</w:t>
        <w:tab/>
        <w:t xml:space="preserve">Non-use and Non-disclosure. </w:t>
      </w:r>
      <w:r>
        <w:rPr>
          <w:rFonts w:ascii="Times New Roman" w:hAnsi="Times New Roman"/>
          <w:b w:val="0"/>
          <w:sz w:val="22"/>
        </w:rPr>
        <w:t>Each Party agrees not to use any Confidential Information of the other Party for any purpose except to evaluate and engage in discussions concerning the Opportunity. Each Party agrees not to disclose any Confidential Information of the other Party, except that, subject to Section 4 below, a Receiving Party may disclose the Confidential Information to its directors, officers, employees, contractors, attorneys, accountants, auditors, financial advisors, and other professional advisors (“</w:t>
      </w:r>
      <w:r>
        <w:rPr>
          <w:rFonts w:ascii="Times New Roman" w:hAnsi="Times New Roman"/>
          <w:b/>
          <w:sz w:val="22"/>
        </w:rPr>
        <w:t>Representatives</w:t>
      </w:r>
      <w:r>
        <w:rPr>
          <w:rFonts w:ascii="Times New Roman" w:hAnsi="Times New Roman"/>
          <w:b w:val="0"/>
          <w:sz w:val="22"/>
        </w:rPr>
        <w:t>”) who are required to have the information in connection with the Opportunity and only if such Representatives are subject to non-disclosure and non-use obligations at least as stringent as those set forth herein. The Receiving Party will be responsible for any breach of this Agreement by its Representatives. Notwithstanding the non-disclosure obligations of this Section 3, the Receiving Party may disclose Confidential Information to the extent the Receiving Party is required by law or by subpoena or order issued by a court of competent jurisdiction, and the Receiving Party will provide the Disclosing Party with prompt written notice of such requirement. Subject to the foregoing sentence, the Receiving Party shall furnish only that portion of the Confidential Information that the Receiving Party is legally compelled or is otherwise legally required to disclose; provided, however, that prior to any such disclosure, the Receiving Party will provide such assistance as the Disclosing Party reasonably may request in objecting to or narrowing the scope of such disclosure, or obtaining a protective order, confidential treatment of such disclosure, or other relief. Neither Party shall reverse engineer, disassemble or decompile any prototypes, software or other tangible objects that embody the other Party’s Confidential Information and that are provided to the Receiving Party under this Agreement. Each Party agrees that the terms and conditions of this Agreement will be treated as Confidential Information of both Parties and will not be disclosed to any third party; provided, however, that each Party may disclose the terms and conditions of this Agreement (a) as required by law or court order, (b) to its attorneys, accountants, and other professional advisors under obligations of confidentiality, (c) to potential investors or acquirers under obligations of confidentiality, or (d) with the prior written consent of the other Party.</w:t>
      </w:r>
    </w:p>
    <w:p>
      <w:pPr>
        <w:spacing w:after="160"/>
      </w:pPr>
      <w:r>
        <w:rPr>
          <w:rFonts w:ascii="Times New Roman" w:hAnsi="Times New Roman"/>
          <w:b/>
          <w:sz w:val="22"/>
        </w:rPr>
        <w:t>4.</w:t>
        <w:tab/>
        <w:t xml:space="preserve">Maintenance of Confidentiality. </w:t>
      </w:r>
      <w:r>
        <w:rPr>
          <w:rFonts w:ascii="Times New Roman" w:hAnsi="Times New Roman"/>
          <w:b w:val="0"/>
          <w:sz w:val="22"/>
        </w:rPr>
        <w:t>Each Party agrees that it shall take reasonable measures to protect the secrecy of and avoid disclosure and unauthorized use of the Confidential Information of the other Party. Without limiting the foregoing, each Party shall take at least those measures that it takes to protect its own confidential information of a similar nature. A Receiving Party shall promptly notify the Disclosing Party if it becomes aware of any use or disclosure of such Confidential Information in violation of this Agreement.</w:t>
      </w:r>
    </w:p>
    <w:p>
      <w:pPr>
        <w:spacing w:after="160"/>
      </w:pPr>
      <w:r>
        <w:rPr>
          <w:rFonts w:ascii="Times New Roman" w:hAnsi="Times New Roman"/>
          <w:b/>
          <w:sz w:val="22"/>
        </w:rPr>
        <w:t>5.</w:t>
        <w:tab/>
        <w:t xml:space="preserve">No Obligation. </w:t>
      </w:r>
      <w:r>
        <w:rPr>
          <w:rFonts w:ascii="Times New Roman" w:hAnsi="Times New Roman"/>
          <w:b w:val="0"/>
          <w:sz w:val="22"/>
        </w:rPr>
        <w:t>Nothing in this Agreement shall obligate either Party to proceed with any transaction between them, and each Party reserves the right, in its sole discretion, to terminate the discussions contemplated by this Agreement concerning the Opportunity.</w:t>
      </w:r>
    </w:p>
    <w:p>
      <w:pPr>
        <w:spacing w:after="160"/>
      </w:pPr>
      <w:r>
        <w:rPr>
          <w:rFonts w:ascii="Times New Roman" w:hAnsi="Times New Roman"/>
          <w:b/>
          <w:sz w:val="22"/>
        </w:rPr>
        <w:t>6.</w:t>
        <w:tab/>
        <w:t xml:space="preserve">Competing Products/Services. </w:t>
      </w:r>
      <w:r>
        <w:rPr>
          <w:rFonts w:ascii="Times New Roman" w:hAnsi="Times New Roman"/>
          <w:b w:val="0"/>
          <w:sz w:val="22"/>
        </w:rPr>
        <w:t>Nothing in this Agreement shall restrict either Party from independently developing, marketing, or providing any product or service, including products or services that may compete with those of the other Party, provided that such activities do not involve the use or disclosure of the other Party’s Confidential Information in violation of this Agreement. The Parties acknowledge that they may currently or in the future develop, market, or provide products or services that compete with one another, and that residual information retained in the unaided memory of a Representative who has had access to Confidential Information shall not constitute a breach of this Agreement, provided that such Representative does not intentionally memorize Confidential Information for the purpose of circumventing this Agreement. For purposes of this Section, “unaided memory” means general knowledge, ideas, concepts, know-how, and skills retained in intangible form by a Representative without reference to written or electronic records of the Confidential Information. The Receiving Party will not use any Confidential Information of the Disclosing Party to design, develop, provide, or market any product or service that would compete with any product or service of the Disclosing Party.</w:t>
      </w:r>
    </w:p>
    <w:p>
      <w:pPr>
        <w:spacing w:after="160"/>
      </w:pPr>
      <w:r>
        <w:rPr>
          <w:rFonts w:ascii="Times New Roman" w:hAnsi="Times New Roman"/>
          <w:b/>
          <w:sz w:val="22"/>
        </w:rPr>
        <w:t>7.</w:t>
        <w:tab/>
        <w:t xml:space="preserve">No Warranty. </w:t>
      </w:r>
      <w:r>
        <w:rPr>
          <w:rFonts w:ascii="Times New Roman" w:hAnsi="Times New Roman"/>
          <w:b w:val="0"/>
          <w:sz w:val="22"/>
        </w:rPr>
        <w:t>ALL CONFIDENTIAL INFORMATION IS PROVIDED “AS IS.” EACH PARTY MAKES NO WARRANTIES, EXPRESS, IMPLIED OR OTHERWISE, REGARDING THE ACCURACY AND COMPLETENESS OF THE CONFIDENTIAL INFORMATION.</w:t>
      </w:r>
    </w:p>
    <w:p>
      <w:pPr>
        <w:spacing w:after="160"/>
      </w:pPr>
      <w:r>
        <w:rPr>
          <w:rFonts w:ascii="Times New Roman" w:hAnsi="Times New Roman"/>
          <w:b/>
          <w:sz w:val="22"/>
        </w:rPr>
        <w:t>8.</w:t>
        <w:tab/>
        <w:t xml:space="preserve">Return of Materials. </w:t>
      </w:r>
      <w:r>
        <w:rPr>
          <w:rFonts w:ascii="Times New Roman" w:hAnsi="Times New Roman"/>
          <w:b w:val="0"/>
          <w:sz w:val="22"/>
        </w:rPr>
        <w:t>Upon the Disclosing Party’s written request, the Receiving Party shall, within thirty (30) days, promptly return or destroy all documents and other tangible objects containing or representing Confidential Information that are in its possession. Notwithstanding the foregoing, the Receiving Party may retain (a) one copy of Confidential Information for regulatory, legal or internal recordkeeping reasons and (b) Confidential Information retained in its electronic back-up systems in the ordinary course of business; provided that any such retained Confidential Information shall remain subject to the confidentiality obligations of this Agreement for so long as it is retained.</w:t>
      </w:r>
    </w:p>
    <w:p>
      <w:pPr>
        <w:spacing w:after="160"/>
      </w:pPr>
      <w:r>
        <w:rPr>
          <w:rFonts w:ascii="Times New Roman" w:hAnsi="Times New Roman"/>
          <w:b/>
          <w:sz w:val="22"/>
        </w:rPr>
        <w:t>9.</w:t>
        <w:tab/>
        <w:t xml:space="preserve">Ownership; No License. </w:t>
      </w:r>
      <w:r>
        <w:rPr>
          <w:rFonts w:ascii="Times New Roman" w:hAnsi="Times New Roman"/>
          <w:b w:val="0"/>
          <w:sz w:val="22"/>
        </w:rPr>
        <w:t>All Confidential Information is the property of the Disclosing Party. Nothing in this Agreement is intended to grant any rights in or confer any license to the Confidential Information to the Receiving Party.</w:t>
      </w:r>
    </w:p>
    <w:p>
      <w:pPr>
        <w:spacing w:after="160"/>
      </w:pPr>
      <w:r>
        <w:rPr>
          <w:rFonts w:ascii="Times New Roman" w:hAnsi="Times New Roman"/>
          <w:b/>
          <w:sz w:val="22"/>
        </w:rPr>
        <w:t>10.</w:t>
        <w:tab/>
        <w:t xml:space="preserve">Term. </w:t>
      </w:r>
      <w:r>
        <w:rPr>
          <w:rFonts w:ascii="Times New Roman" w:hAnsi="Times New Roman"/>
          <w:b w:val="0"/>
          <w:sz w:val="22"/>
        </w:rPr>
        <w:t>The term of this Agreement will commence on the Effective Date and continue until this Agreement is terminated upon written notice to the other Party. The Parties’ obligations under this Agreement shall survive until such time as all Confidential Information of the other Party disclosed hereunder becomes publicly known and made generally available through no action or inaction of the Receiving Party, but in no event more than three (3) years after termination of this Agreement. For Confidential Information identified in writing by the Disclosing Party as a trade secret at the time of disclosure, the obligations under this Agreement shall continue for so long as such information remains a trade secret under applicable law, but in no event longer than seven (7) years after termination of this Agreement.</w:t>
      </w:r>
    </w:p>
    <w:p>
      <w:pPr>
        <w:spacing w:after="160"/>
      </w:pPr>
      <w:r>
        <w:rPr>
          <w:rFonts w:ascii="Times New Roman" w:hAnsi="Times New Roman"/>
          <w:b/>
          <w:sz w:val="22"/>
        </w:rPr>
        <w:t>11.</w:t>
        <w:tab/>
        <w:t xml:space="preserve">Availability of Equitable Relief. </w:t>
      </w:r>
      <w:r>
        <w:rPr>
          <w:rFonts w:ascii="Times New Roman" w:hAnsi="Times New Roman"/>
          <w:b w:val="0"/>
          <w:sz w:val="22"/>
        </w:rPr>
        <w:t>Each Party understands and agrees that its breach or threatened breach of this Agreement may cause irreparable injury to the other Party and that money damages may not provide an adequate remedy for such breach or threatened breach, and both Parties hereby agree that, in the event of such a breach or threatened breach, the non-breaching Party will also be entitled, without the requirement of posting a bond or other security, to seek equitable relief, including injunctive relief and specific performance.</w:t>
      </w:r>
    </w:p>
    <w:p>
      <w:pPr>
        <w:spacing w:after="160"/>
      </w:pPr>
      <w:r>
        <w:rPr>
          <w:rFonts w:ascii="Times New Roman" w:hAnsi="Times New Roman"/>
          <w:b/>
          <w:sz w:val="22"/>
        </w:rPr>
        <w:t>12.</w:t>
        <w:tab/>
        <w:t xml:space="preserve">Attorneys’ Fees. </w:t>
      </w:r>
      <w:r>
        <w:rPr>
          <w:rFonts w:ascii="Times New Roman" w:hAnsi="Times New Roman"/>
          <w:b w:val="0"/>
          <w:sz w:val="22"/>
        </w:rPr>
        <w:t>The prevailing Party will be entitled (in addition to any other remedies) to recover any and all costs and expenses (including, without limitation, reasonable attorneys’ fees) that it may incur in connection with any legal action to enforce this Agreement or to recover damages or other relief on account of any breach of this Agreement.</w:t>
      </w:r>
    </w:p>
    <w:p>
      <w:pPr>
        <w:spacing w:after="160"/>
      </w:pPr>
      <w:r>
        <w:rPr>
          <w:rFonts w:ascii="Times New Roman" w:hAnsi="Times New Roman"/>
          <w:b/>
          <w:sz w:val="22"/>
        </w:rPr>
        <w:t>13.</w:t>
        <w:tab/>
        <w:t xml:space="preserve">Severability. </w:t>
      </w:r>
      <w:r>
        <w:rPr>
          <w:rFonts w:ascii="Times New Roman" w:hAnsi="Times New Roman"/>
          <w:b w:val="0"/>
          <w:sz w:val="22"/>
        </w:rPr>
        <w:t>If any provision of this Agreement is found to be illegal or unenforceable, the other provisions shall remain effective and enforceable to the greatest extent permitted by law.</w:t>
      </w:r>
    </w:p>
    <w:p>
      <w:pPr>
        <w:spacing w:after="160"/>
      </w:pPr>
      <w:r>
        <w:rPr>
          <w:rFonts w:ascii="Times New Roman" w:hAnsi="Times New Roman"/>
          <w:b/>
          <w:sz w:val="22"/>
        </w:rPr>
        <w:t>14.</w:t>
        <w:tab/>
        <w:t xml:space="preserve">Miscellaneous. </w:t>
      </w:r>
      <w:r>
        <w:rPr>
          <w:rFonts w:ascii="Times New Roman" w:hAnsi="Times New Roman"/>
          <w:b w:val="0"/>
          <w:sz w:val="22"/>
        </w:rPr>
        <w:t>This Agreement shall benefit and bind the Parties and their respective successors, heirs, legal representatives and permitted assigns. This Agreement and the rights, interests and obligations under this Agreement may not be assigned or delegated by either Party, in whole or part, whether voluntarily, by operation of law, change of control or otherwise, without the prior written consent of the other Party; provided, however, that either Party may, without such consent, assign this Agreement and its rights, interests and obligations under this Agreement in connection with the transfer or sale of all or substantially all of its business, or in the event of its merger, consolidation, change in control or other similar transaction. Any purported assignment or delegation in violation of the foregoing will be void. This Agreement shall be governed by the laws of the State of Delaware without regard to Delaware conflicts of law rules. This Agreement constitutes the entire agreement between the Parties with respect to its subject matter and supersedes all prior written and oral agreements between the Parties regarding the subject matter of this Agreement, and neither Party shall have any obligation, express or implied by law, with respect to trade secret or proprietary information of the other Party except as set forth in this Agreement. No provision of this Agreement may be waived except by a writing executed by the Party against whom the waiver is to be effective. A Party’s failure to enforce any provision of this Agreement shall neither be construed as a waiver of the provision nor prevent the Party from enforcing any other provision of this Agreement. No provision of this Agreement may be amended or otherwise modified except by a writing signed by the Parties to this Agreement. Any notice required or permitted under this Agreement will be in writing and will be deemed effectively given upon personal delivery, three business days after deposit in the United States mail, by certified mail, postage prepaid, return receipt requested, or the business day after delivery to a recognized overnight courier, to the address of the Party to whom notice is being given as set forth above or at such other address as such Party may have designated in writing, or by email, provided the receiving Party has acknowledged its receipt thereof.</w:t>
      </w:r>
    </w:p>
    <w:p>
      <w:pPr>
        <w:spacing w:after="360" w:before="0"/>
      </w:pPr>
      <w:r>
        <w:rPr>
          <w:rFonts w:ascii="Times New Roman" w:hAnsi="Times New Roman"/>
          <w:b w:val="0"/>
          <w:sz w:val="22"/>
        </w:rPr>
        <w:t>Each Party to this Agreement has caused it to be executed by its duly authorized officer or representative.</w:t>
      </w:r>
    </w:p>
    <w:tbl>
      <w:tblPr>
        <w:tblW w:type="auto" w:w="0"/>
        <w:tblLook w:firstColumn="1" w:firstRow="1" w:lastColumn="0" w:lastRow="0" w:noHBand="0" w:noVBand="1" w:val="04A0"/>
      </w:tblPr>
      <w:tblGrid>
        <w:gridCol w:w="4680"/>
        <w:gridCol w:w="4680"/>
      </w:tblGrid>
      <w:tr>
        <w:tc>
          <w:tcPr>
            <w:tcW w:type="dxa" w:w="4680"/>
          </w:tcPr>
          <w:p>
            <w:pPr>
              <w:spacing w:after="40"/>
            </w:pPr>
            <w:r/>
            <w:r>
              <w:rPr>
                <w:rFonts w:ascii="Times New Roman" w:hAnsi="Times New Roman"/>
                <w:b/>
                <w:sz w:val="22"/>
              </w:rPr>
              <w:t>FIL ONE LLC, on behalf of itself and its Affiliates</w:t>
            </w:r>
          </w:p>
          <w:p>
            <w:pPr>
              <w:spacing w:after="40"/>
            </w:pPr>
            <w:r>
              <w:rPr>
                <w:rFonts w:ascii="Times New Roman" w:hAnsi="Times New Roman"/>
                <w:sz w:val="22"/>
              </w:rPr>
            </w:r>
          </w:p>
          <w:p>
            <w:pPr>
              <w:spacing w:after="40"/>
            </w:pPr>
            <w:r>
              <w:rPr>
                <w:rFonts w:ascii="Times New Roman" w:hAnsi="Times New Roman"/>
                <w:sz w:val="22"/>
              </w:rPr>
              <w:t>Signature: _______________________________</w:t>
            </w:r>
          </w:p>
          <w:p>
            <w:pPr>
              <w:spacing w:after="40"/>
            </w:pPr>
            <w:r>
              <w:rPr>
                <w:rFonts w:ascii="Times New Roman" w:hAnsi="Times New Roman"/>
                <w:sz w:val="22"/>
              </w:rPr>
            </w:r>
          </w:p>
          <w:p>
            <w:pPr>
              <w:spacing w:after="40"/>
            </w:pPr>
            <w:r>
              <w:rPr>
                <w:rFonts w:ascii="Times New Roman" w:hAnsi="Times New Roman"/>
                <w:sz w:val="22"/>
              </w:rPr>
              <w:t>Name: ____________________________________</w:t>
            </w:r>
          </w:p>
          <w:p>
            <w:pPr>
              <w:spacing w:after="40"/>
            </w:pPr>
            <w:r>
              <w:rPr>
                <w:rFonts w:ascii="Times New Roman" w:hAnsi="Times New Roman"/>
                <w:sz w:val="22"/>
              </w:rPr>
            </w:r>
          </w:p>
          <w:p>
            <w:pPr>
              <w:spacing w:after="40"/>
            </w:pPr>
            <w:r>
              <w:rPr>
                <w:rFonts w:ascii="Times New Roman" w:hAnsi="Times New Roman"/>
                <w:sz w:val="22"/>
              </w:rPr>
              <w:t>Title: _____________________________________</w:t>
            </w:r>
          </w:p>
          <w:p>
            <w:pPr>
              <w:spacing w:after="40"/>
            </w:pPr>
            <w:r>
              <w:rPr>
                <w:rFonts w:ascii="Times New Roman" w:hAnsi="Times New Roman"/>
                <w:sz w:val="22"/>
              </w:rPr>
            </w:r>
          </w:p>
          <w:p>
            <w:pPr>
              <w:spacing w:after="40"/>
            </w:pPr>
            <w:r>
              <w:rPr>
                <w:rFonts w:ascii="Times New Roman" w:hAnsi="Times New Roman"/>
                <w:sz w:val="22"/>
              </w:rPr>
              <w:t>Date: _____________________________________</w:t>
            </w:r>
          </w:p>
          <w:p>
            <w:pPr>
              <w:spacing w:after="40"/>
            </w:pPr>
            <w:r>
              <w:rPr>
                <w:rFonts w:ascii="Times New Roman" w:hAnsi="Times New Roman"/>
                <w:sz w:val="22"/>
              </w:rPr>
            </w:r>
          </w:p>
          <w:p>
            <w:pPr>
              <w:spacing w:after="40"/>
            </w:pPr>
            <w:r>
              <w:rPr>
                <w:rFonts w:ascii="Times New Roman" w:hAnsi="Times New Roman"/>
                <w:sz w:val="22"/>
              </w:rPr>
              <w:t>Address for Notices:</w:t>
            </w:r>
          </w:p>
          <w:p>
            <w:pPr>
              <w:spacing w:after="40"/>
            </w:pPr>
            <w:r>
              <w:rPr>
                <w:rFonts w:ascii="Times New Roman" w:hAnsi="Times New Roman"/>
                <w:sz w:val="22"/>
              </w:rPr>
              <w:t>FIL One LLC</w:t>
            </w:r>
          </w:p>
          <w:p>
            <w:pPr>
              <w:spacing w:after="40"/>
            </w:pPr>
            <w:r>
              <w:rPr>
                <w:rFonts w:ascii="Times New Roman" w:hAnsi="Times New Roman"/>
                <w:sz w:val="22"/>
              </w:rPr>
              <w:t>ATTN: [Authorized signer / notices contact]</w:t>
            </w:r>
          </w:p>
          <w:p>
            <w:pPr>
              <w:spacing w:after="40"/>
            </w:pPr>
            <w:r>
              <w:rPr>
                <w:rFonts w:ascii="Times New Roman" w:hAnsi="Times New Roman"/>
                <w:sz w:val="22"/>
              </w:rPr>
              <w:t>600 N Broad Street, Suite 5</w:t>
            </w:r>
          </w:p>
          <w:p>
            <w:pPr>
              <w:spacing w:after="40"/>
            </w:pPr>
            <w:r>
              <w:rPr>
                <w:rFonts w:ascii="Times New Roman" w:hAnsi="Times New Roman"/>
                <w:sz w:val="22"/>
              </w:rPr>
              <w:t>Middletown, DE 19709</w:t>
            </w:r>
          </w:p>
          <w:p>
            <w:pPr>
              <w:spacing w:after="40"/>
            </w:pPr>
            <w:r>
              <w:rPr>
                <w:rFonts w:ascii="Times New Roman" w:hAnsi="Times New Roman"/>
                <w:sz w:val="22"/>
              </w:rPr>
              <w:t>email: m@fil.org</w:t>
            </w:r>
          </w:p>
        </w:tc>
        <w:tc>
          <w:tcPr>
            <w:tcW w:type="dxa" w:w="4680"/>
          </w:tcPr>
          <w:p>
            <w:pPr>
              <w:spacing w:after="40"/>
            </w:pPr>
            <w:r/>
            <w:r>
              <w:rPr>
                <w:rFonts w:ascii="Times New Roman" w:hAnsi="Times New Roman"/>
                <w:b/>
                <w:sz w:val="22"/>
              </w:rPr>
              <w:t>[COUNTERPARTY LEGAL NAME]</w:t>
            </w:r>
          </w:p>
          <w:p>
            <w:pPr>
              <w:spacing w:after="40"/>
            </w:pPr>
            <w:r>
              <w:rPr>
                <w:rFonts w:ascii="Times New Roman" w:hAnsi="Times New Roman"/>
                <w:sz w:val="22"/>
              </w:rPr>
            </w:r>
          </w:p>
          <w:p>
            <w:pPr>
              <w:spacing w:after="40"/>
            </w:pPr>
            <w:r>
              <w:rPr>
                <w:rFonts w:ascii="Times New Roman" w:hAnsi="Times New Roman"/>
                <w:sz w:val="22"/>
              </w:rPr>
              <w:t>Signature: _______________________________</w:t>
            </w:r>
          </w:p>
          <w:p>
            <w:pPr>
              <w:spacing w:after="40"/>
            </w:pPr>
            <w:r>
              <w:rPr>
                <w:rFonts w:ascii="Times New Roman" w:hAnsi="Times New Roman"/>
                <w:sz w:val="22"/>
              </w:rPr>
            </w:r>
          </w:p>
          <w:p>
            <w:pPr>
              <w:spacing w:after="40"/>
            </w:pPr>
            <w:r>
              <w:rPr>
                <w:rFonts w:ascii="Times New Roman" w:hAnsi="Times New Roman"/>
                <w:sz w:val="22"/>
              </w:rPr>
              <w:t>Name: ____________________________________</w:t>
            </w:r>
          </w:p>
          <w:p>
            <w:pPr>
              <w:spacing w:after="40"/>
            </w:pPr>
            <w:r>
              <w:rPr>
                <w:rFonts w:ascii="Times New Roman" w:hAnsi="Times New Roman"/>
                <w:sz w:val="22"/>
              </w:rPr>
            </w:r>
          </w:p>
          <w:p>
            <w:pPr>
              <w:spacing w:after="40"/>
            </w:pPr>
            <w:r>
              <w:rPr>
                <w:rFonts w:ascii="Times New Roman" w:hAnsi="Times New Roman"/>
                <w:sz w:val="22"/>
              </w:rPr>
              <w:t>Title: _____________________________________</w:t>
            </w:r>
          </w:p>
          <w:p>
            <w:pPr>
              <w:spacing w:after="40"/>
            </w:pPr>
            <w:r>
              <w:rPr>
                <w:rFonts w:ascii="Times New Roman" w:hAnsi="Times New Roman"/>
                <w:sz w:val="22"/>
              </w:rPr>
            </w:r>
          </w:p>
          <w:p>
            <w:pPr>
              <w:spacing w:after="40"/>
            </w:pPr>
            <w:r>
              <w:rPr>
                <w:rFonts w:ascii="Times New Roman" w:hAnsi="Times New Roman"/>
                <w:sz w:val="22"/>
              </w:rPr>
              <w:t>Date: _____________________________________</w:t>
            </w:r>
          </w:p>
          <w:p>
            <w:pPr>
              <w:spacing w:after="40"/>
            </w:pPr>
            <w:r>
              <w:rPr>
                <w:rFonts w:ascii="Times New Roman" w:hAnsi="Times New Roman"/>
                <w:sz w:val="22"/>
              </w:rPr>
            </w:r>
          </w:p>
          <w:p>
            <w:pPr>
              <w:spacing w:after="40"/>
            </w:pPr>
            <w:r>
              <w:rPr>
                <w:rFonts w:ascii="Times New Roman" w:hAnsi="Times New Roman"/>
                <w:sz w:val="22"/>
              </w:rPr>
              <w:t>Address for Notices:</w:t>
            </w:r>
          </w:p>
          <w:p>
            <w:pPr>
              <w:spacing w:after="40"/>
            </w:pPr>
            <w:r>
              <w:rPr>
                <w:rFonts w:ascii="Times New Roman" w:hAnsi="Times New Roman"/>
                <w:sz w:val="22"/>
              </w:rPr>
              <w:t>[Counterparty Legal Name]</w:t>
            </w:r>
          </w:p>
          <w:p>
            <w:pPr>
              <w:spacing w:after="40"/>
            </w:pPr>
            <w:r>
              <w:rPr>
                <w:rFonts w:ascii="Times New Roman" w:hAnsi="Times New Roman"/>
                <w:sz w:val="22"/>
              </w:rPr>
              <w:t>ATTN: [Counterparty notices contact]</w:t>
            </w:r>
          </w:p>
          <w:p>
            <w:pPr>
              <w:spacing w:after="40"/>
            </w:pPr>
            <w:r>
              <w:rPr>
                <w:rFonts w:ascii="Times New Roman" w:hAnsi="Times New Roman"/>
                <w:sz w:val="22"/>
              </w:rPr>
              <w:t>[Counterparty street address]</w:t>
            </w:r>
          </w:p>
          <w:p>
            <w:pPr>
              <w:spacing w:after="40"/>
            </w:pPr>
            <w:r>
              <w:rPr>
                <w:rFonts w:ascii="Times New Roman" w:hAnsi="Times New Roman"/>
                <w:sz w:val="22"/>
              </w:rPr>
              <w:t>[City, State/Province, Postal Code, Country]</w:t>
            </w:r>
          </w:p>
          <w:p>
            <w:pPr>
              <w:spacing w:after="40"/>
            </w:pPr>
            <w:r>
              <w:rPr>
                <w:rFonts w:ascii="Times New Roman" w:hAnsi="Times New Roman"/>
                <w:sz w:val="22"/>
              </w:rPr>
              <w:t>email: [Counterparty email]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