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8756"/>
      </w:tblGrid>
      <w:tr>
        <w:trPr>
          <w:cantSplit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drawing>
                <wp:inline distT="0" distB="0" distL="0" distR="0">
                  <wp:extent cx="552450" cy="552450"/>
                  <wp:effectExtent t="0" r="0" b="0" l="0"/>
                  <wp:docPr id="1" name="Logo FILANEX" descr="Logotipo corporativo de FILANEX" title="FILAN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color="auto" w:val="clear"/>
            <w:tcMar>
              <w:top w:type="dxa" w:w="130"/>
              <w:left w:type="dxa" w:w="260"/>
              <w:bottom w:type="dxa" w:w="130"/>
              <w:right w:type="dxa" w:w="200"/>
            </w:tcMar>
            <w:vAlign w:val="center"/>
          </w:tcPr>
          <w:p>
            <w:pPr>
              <w:keepNext w:val="false"/>
              <w:spacing w:after="25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90"/>
                <w:sz w:val="38"/>
                <w:szCs w:val="38"/>
              </w:rPr>
              <w:t xml:space="preserve">FILANEX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AE6FD"/>
                <w:sz w:val="18"/>
                <w:szCs w:val="18"/>
              </w:rPr>
              <w:t xml:space="preserve">Gestión empresarial conectada</w:t>
            </w:r>
          </w:p>
        </w:tc>
      </w:tr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color="auto" w:val="clear"/>
            <w:tcMar>
              <w:top w:type="dxa" w:w="35"/>
              <w:left w:type="dxa" w:w="0"/>
              <w:bottom w:type="dxa" w:w="35"/>
              <w:right w:type="dxa" w:w="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170" w:before="0" w:line="240"/>
        <w:jc w:val="left"/>
      </w:pPr>
      <w:r>
        <w:rPr>
          <w:rFonts w:ascii="Arial" w:cs="Arial" w:eastAsia="Arial" w:hAnsi="Arial"/>
          <w:b w:val="false"/>
          <w:bCs w:val="false"/>
          <w:color w:val="334155"/>
          <w:sz w:val="2"/>
          <w:szCs w:val="2"/>
        </w:rPr>
        <w:t xml:space="preserve"/>
      </w:r>
    </w:p>
    <w:p>
      <w:pPr>
        <w:keepNext/>
        <w:spacing w:after="70" w:before="0" w:line="240"/>
        <w:jc w:val="left"/>
      </w:pPr>
      <w:r>
        <w:rPr>
          <w:rFonts w:ascii="Arial" w:cs="Arial" w:eastAsia="Arial" w:hAnsi="Arial"/>
          <w:b/>
          <w:bCs/>
          <w:color w:val="0B1220"/>
          <w:sz w:val="34"/>
          <w:szCs w:val="34"/>
        </w:rPr>
        <w:t xml:space="preserve">Acceso al entorno de demostración</w:t>
      </w:r>
    </w:p>
    <w:p>
      <w:pPr>
        <w:keepNext w:val="false"/>
        <w:spacing w:after="180" w:before="0" w:line="240"/>
        <w:jc w:val="left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Credenciales preparadas para conocer el funcionamiento de FILANEX desde la perspectiva de una empresa y de su asesoría vinculada.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7356"/>
      </w:tblGrid>
      <w:tr>
        <w:trPr>
          <w:cantSplit/>
        </w:trPr>
        <w:tc>
          <w:tcPr>
            <w:tcW w:type="dxa" w:w="285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0F9FF" w:color="auto" w:val="clear"/>
            <w:tcMar>
              <w:top w:type="dxa" w:w="180"/>
              <w:left w:type="dxa" w:w="220"/>
              <w:bottom w:type="dxa" w:w="180"/>
              <w:right w:type="dxa" w:w="14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ACCESO A LA PLATAFORMA</w:t>
            </w:r>
          </w:p>
        </w:tc>
        <w:tc>
          <w:tcPr>
            <w:tcW w:type="dxa" w:w="7356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tcMar>
              <w:top w:type="dxa" w:w="180"/>
              <w:left w:type="dxa" w:w="240"/>
              <w:bottom w:type="dxa" w:w="180"/>
              <w:right w:type="dxa" w:w="180"/>
            </w:tcMar>
            <w:vAlign w:val="center"/>
          </w:tcPr>
          <w:p>
            <w:hyperlink w:history="1" r:id="rIdcxjml11gghoz8dizdq680">
              <w:r>
                <w:rPr>
                  <w:rFonts w:ascii="Arial" w:cs="Arial" w:eastAsia="Arial" w:hAnsi="Arial"/>
                  <w:b/>
                  <w:bCs/>
                  <w:color w:val="0369A1"/>
                  <w:sz w:val="22"/>
                  <w:szCs w:val="22"/>
                  <w:u w:val="single"/>
                </w:rPr>
                <w:t xml:space="preserve">https://app.filanex.es</w:t>
              </w:r>
            </w:hyperlink>
          </w:p>
        </w:tc>
      </w:tr>
    </w:tbl>
    <w:p>
      <w:pPr>
        <w:keepNext w:val="false"/>
        <w:spacing w:after="170" w:before="0" w:line="240"/>
        <w:jc w:val="left"/>
      </w:pPr>
      <w:r>
        <w:rPr>
          <w:rFonts w:ascii="Arial" w:cs="Arial" w:eastAsia="Arial" w:hAnsi="Arial"/>
          <w:b w:val="false"/>
          <w:bCs w:val="false"/>
          <w:color w:val="334155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8156"/>
      </w:tblGrid>
      <w:tr>
        <w:trPr>
          <w:cantSplit/>
        </w:trP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color="auto" w:val="clear"/>
            <w:tcMar>
              <w:top w:type="dxa" w:w="180"/>
              <w:left w:type="dxa" w:w="230"/>
              <w:bottom w:type="dxa" w:w="180"/>
              <w:right w:type="dxa" w:w="1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EMPRESA DEMO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color="auto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6"/>
                <w:szCs w:val="16"/>
              </w:rPr>
              <w:t xml:space="preserve">Acceso empresa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color="auto" w:val="clear"/>
            <w:tcMar>
              <w:top w:type="dxa" w:w="210"/>
              <w:left w:type="dxa" w:w="230"/>
              <w:bottom w:type="dxa" w:w="210"/>
              <w:right w:type="dxa" w:w="150"/>
            </w:tcMar>
            <w:vAlign w:val="center"/>
          </w:tcPr>
          <w:p>
            <w:pPr>
              <w:keepNext w:val="false"/>
              <w:spacing w:after="45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USUARIO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CONTRASEÑA</w:t>
            </w:r>
          </w:p>
        </w:tc>
        <w:tc>
          <w:tcPr>
            <w:tcW w:type="dxa" w:w="8156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tcMar>
              <w:top w:type="dxa" w:w="210"/>
              <w:left w:type="dxa" w:w="260"/>
              <w:bottom w:type="dxa" w:w="210"/>
              <w:right w:type="dxa" w:w="200"/>
            </w:tcMar>
            <w:vAlign w:val="center"/>
          </w:tcPr>
          <w:p>
            <w:pPr>
              <w:keepNext w:val="false"/>
              <w:spacing w:after="45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369A1"/>
                <w:sz w:val="22"/>
                <w:szCs w:val="22"/>
              </w:rPr>
              <w:t xml:space="preserve">info@filanex.es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1220"/>
                <w:sz w:val="22"/>
                <w:szCs w:val="22"/>
              </w:rPr>
              <w:t xml:space="preserve">Demo1234!</w:t>
            </w:r>
          </w:p>
        </w:tc>
      </w:tr>
    </w:tbl>
    <w:p>
      <w:pPr>
        <w:keepNext w:val="false"/>
        <w:spacing w:after="130" w:before="0" w:line="240"/>
        <w:jc w:val="left"/>
      </w:pPr>
      <w:r>
        <w:rPr>
          <w:rFonts w:ascii="Arial" w:cs="Arial" w:eastAsia="Arial" w:hAnsi="Arial"/>
          <w:b w:val="false"/>
          <w:bCs w:val="false"/>
          <w:color w:val="334155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8156"/>
      </w:tblGrid>
      <w:tr>
        <w:trPr>
          <w:cantSplit/>
        </w:trP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color="auto" w:val="clear"/>
            <w:tcMar>
              <w:top w:type="dxa" w:w="180"/>
              <w:left w:type="dxa" w:w="230"/>
              <w:bottom w:type="dxa" w:w="180"/>
              <w:right w:type="dxa" w:w="180"/>
            </w:tcMar>
            <w:vAlign w:val="center"/>
          </w:tcPr>
          <w:p>
            <w:pPr>
              <w:keepNext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ASESORÍA GASEN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color="auto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6"/>
                <w:szCs w:val="16"/>
              </w:rPr>
              <w:t xml:space="preserve">Acceso asesoría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color="auto" w:val="clear"/>
            <w:tcMar>
              <w:top w:type="dxa" w:w="210"/>
              <w:left w:type="dxa" w:w="230"/>
              <w:bottom w:type="dxa" w:w="210"/>
              <w:right w:type="dxa" w:w="150"/>
            </w:tcMar>
            <w:vAlign w:val="center"/>
          </w:tcPr>
          <w:p>
            <w:pPr>
              <w:keepNext w:val="false"/>
              <w:spacing w:after="45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USUARIO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CONTRASEÑA</w:t>
            </w:r>
          </w:p>
        </w:tc>
        <w:tc>
          <w:tcPr>
            <w:tcW w:type="dxa" w:w="8156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tcMar>
              <w:top w:type="dxa" w:w="210"/>
              <w:left w:type="dxa" w:w="260"/>
              <w:bottom w:type="dxa" w:w="210"/>
              <w:right w:type="dxa" w:w="200"/>
            </w:tcMar>
            <w:vAlign w:val="center"/>
          </w:tcPr>
          <w:p>
            <w:pPr>
              <w:keepNext w:val="false"/>
              <w:spacing w:after="45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369A1"/>
                <w:sz w:val="22"/>
                <w:szCs w:val="22"/>
              </w:rPr>
              <w:t xml:space="preserve">demo@gasen.es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1220"/>
                <w:sz w:val="22"/>
                <w:szCs w:val="22"/>
              </w:rPr>
              <w:t xml:space="preserve">Demo1234!</w:t>
            </w:r>
          </w:p>
        </w:tc>
      </w:tr>
    </w:tbl>
    <w:p>
      <w:pPr>
        <w:keepNext w:val="false"/>
        <w:spacing w:after="180" w:before="0" w:line="240"/>
        <w:jc w:val="left"/>
      </w:pPr>
      <w:r>
        <w:rPr>
          <w:rFonts w:ascii="Arial" w:cs="Arial" w:eastAsia="Arial" w:hAnsi="Arial"/>
          <w:b w:val="false"/>
          <w:bCs w:val="false"/>
          <w:color w:val="334155"/>
          <w:sz w:val="2"/>
          <w:szCs w:val="2"/>
        </w:rPr>
        <w:t xml:space="preserve"/>
      </w:r>
    </w:p>
    <w:p>
      <w:pPr>
        <w:keepNext/>
        <w:spacing w:after="100" w:before="0" w:line="240"/>
        <w:jc w:val="left"/>
      </w:pPr>
      <w:r>
        <w:rPr>
          <w:rFonts w:ascii="Arial" w:cs="Arial" w:eastAsia="Arial" w:hAnsi="Arial"/>
          <w:b/>
          <w:bCs/>
          <w:color w:val="0B1220"/>
          <w:sz w:val="22"/>
          <w:szCs w:val="22"/>
        </w:rPr>
        <w:t xml:space="preserve">Relación configurada para la demostración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6"/>
        <w:gridCol w:w="4400"/>
      </w:tblGrid>
      <w:tr>
        <w:trPr>
          <w:cantSplit/>
        </w:trPr>
        <w:tc>
          <w:tcPr>
            <w:tcW w:type="dxa" w:w="44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0F9FF" w:color="auto" w:val="clear"/>
            <w:tcMar>
              <w:top w:type="dxa" w:w="170"/>
              <w:left w:type="dxa" w:w="160"/>
              <w:bottom w:type="dxa" w:w="170"/>
              <w:right w:type="dxa" w:w="160"/>
            </w:tcMar>
            <w:vAlign w:val="center"/>
          </w:tcPr>
          <w:p>
            <w:pPr>
              <w:keepNext w:val="false"/>
              <w:spacing w:after="65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9"/>
                <w:szCs w:val="19"/>
              </w:rPr>
              <w:t xml:space="preserve">EMPRESA DEMO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Cliente de la asesoría</w:t>
            </w:r>
          </w:p>
        </w:tc>
        <w:tc>
          <w:tcPr>
            <w:tcW w:type="dxa" w:w="1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32"/>
                <w:szCs w:val="32"/>
              </w:rPr>
              <w:t xml:space="preserve">→</w:t>
            </w:r>
          </w:p>
        </w:tc>
        <w:tc>
          <w:tcPr>
            <w:tcW w:type="dxa" w:w="4400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0F9FF" w:color="auto" w:val="clear"/>
            <w:tcMar>
              <w:top w:type="dxa" w:w="170"/>
              <w:left w:type="dxa" w:w="160"/>
              <w:bottom w:type="dxa" w:w="170"/>
              <w:right w:type="dxa" w:w="160"/>
            </w:tcMar>
            <w:vAlign w:val="center"/>
          </w:tcPr>
          <w:p>
            <w:pPr>
              <w:keepNext w:val="false"/>
              <w:spacing w:after="65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B1220"/>
                <w:sz w:val="19"/>
                <w:szCs w:val="19"/>
              </w:rPr>
              <w:t xml:space="preserve">ASESORÍA GASEN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Acceso profesional</w:t>
            </w:r>
          </w:p>
        </w:tc>
      </w:tr>
    </w:tbl>
    <w:p>
      <w:pPr>
        <w:keepNext w:val="false"/>
        <w:spacing w:after="150" w:before="0" w:line="240"/>
        <w:jc w:val="left"/>
      </w:pPr>
      <w:r>
        <w:rPr>
          <w:rFonts w:ascii="Arial" w:cs="Arial" w:eastAsia="Arial" w:hAnsi="Arial"/>
          <w:b w:val="false"/>
          <w:bCs w:val="false"/>
          <w:color w:val="334155"/>
          <w:sz w:val="2"/>
          <w:szCs w:val="2"/>
        </w:rPr>
        <w:t xml:space="preserve"/>
      </w:r>
    </w:p>
    <w:p>
      <w:pPr>
        <w:keepNext/>
        <w:spacing w:after="70" w:before="0" w:line="240"/>
        <w:jc w:val="left"/>
      </w:pPr>
      <w:r>
        <w:rPr>
          <w:rFonts w:ascii="Arial" w:cs="Arial" w:eastAsia="Arial" w:hAnsi="Arial"/>
          <w:b/>
          <w:bCs/>
          <w:color w:val="0B1220"/>
          <w:sz w:val="21"/>
          <w:szCs w:val="21"/>
        </w:rPr>
        <w:t xml:space="preserve">Recorrido recomendado</w:t>
      </w:r>
    </w:p>
    <w:p>
      <w:pPr>
        <w:keepNext w:val="false"/>
        <w:spacing w:after="35" w:before="0" w:line="240"/>
        <w:jc w:val="left"/>
      </w:pPr>
      <w:r>
        <w:rPr>
          <w:rFonts w:ascii="Arial" w:cs="Arial" w:eastAsia="Arial" w:hAnsi="Arial"/>
          <w:b/>
          <w:bCs/>
          <w:color w:val="0369A1"/>
          <w:sz w:val="17"/>
          <w:szCs w:val="17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334155"/>
          <w:sz w:val="17"/>
          <w:szCs w:val="17"/>
        </w:rPr>
        <w:t xml:space="preserve">Acceda primero como </w:t>
      </w:r>
      <w:r>
        <w:rPr>
          <w:rFonts w:ascii="Arial" w:cs="Arial" w:eastAsia="Arial" w:hAnsi="Arial"/>
          <w:b/>
          <w:bCs/>
          <w:color w:val="334155"/>
          <w:sz w:val="17"/>
          <w:szCs w:val="17"/>
        </w:rPr>
        <w:t xml:space="preserve">Empresa Demo</w:t>
      </w:r>
      <w:r>
        <w:rPr>
          <w:rFonts w:ascii="Arial" w:cs="Arial" w:eastAsia="Arial" w:hAnsi="Arial"/>
          <w:b w:val="false"/>
          <w:bCs w:val="false"/>
          <w:color w:val="334155"/>
          <w:sz w:val="17"/>
          <w:szCs w:val="17"/>
        </w:rPr>
        <w:t xml:space="preserve"> para revisar la gestión diaria y sus documentos.</w:t>
      </w:r>
    </w:p>
    <w:p>
      <w:pPr>
        <w:keepNext w:val="false"/>
        <w:spacing w:after="35" w:before="0" w:line="240"/>
        <w:jc w:val="left"/>
      </w:pPr>
      <w:r>
        <w:rPr>
          <w:rFonts w:ascii="Arial" w:cs="Arial" w:eastAsia="Arial" w:hAnsi="Arial"/>
          <w:b/>
          <w:bCs/>
          <w:color w:val="0369A1"/>
          <w:sz w:val="17"/>
          <w:szCs w:val="17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334155"/>
          <w:sz w:val="17"/>
          <w:szCs w:val="17"/>
        </w:rPr>
        <w:t xml:space="preserve">Cierre la sesión y acceda como </w:t>
      </w:r>
      <w:r>
        <w:rPr>
          <w:rFonts w:ascii="Arial" w:cs="Arial" w:eastAsia="Arial" w:hAnsi="Arial"/>
          <w:b/>
          <w:bCs/>
          <w:color w:val="334155"/>
          <w:sz w:val="17"/>
          <w:szCs w:val="17"/>
        </w:rPr>
        <w:t xml:space="preserve">Asesoría GASEN</w:t>
      </w:r>
      <w:r>
        <w:rPr>
          <w:rFonts w:ascii="Arial" w:cs="Arial" w:eastAsia="Arial" w:hAnsi="Arial"/>
          <w:b w:val="false"/>
          <w:bCs w:val="false"/>
          <w:color w:val="334155"/>
          <w:sz w:val="17"/>
          <w:szCs w:val="17"/>
        </w:rPr>
        <w:t xml:space="preserve">.</w:t>
      </w:r>
    </w:p>
    <w:p>
      <w:pPr>
        <w:keepNext w:val="false"/>
        <w:spacing w:after="150" w:before="0" w:line="240"/>
        <w:jc w:val="left"/>
      </w:pPr>
      <w:r>
        <w:rPr>
          <w:rFonts w:ascii="Arial" w:cs="Arial" w:eastAsia="Arial" w:hAnsi="Arial"/>
          <w:b/>
          <w:bCs/>
          <w:color w:val="0369A1"/>
          <w:sz w:val="17"/>
          <w:szCs w:val="17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334155"/>
          <w:sz w:val="17"/>
          <w:szCs w:val="17"/>
        </w:rPr>
        <w:t xml:space="preserve">Compruebe que </w:t>
      </w:r>
      <w:r>
        <w:rPr>
          <w:rFonts w:ascii="Arial" w:cs="Arial" w:eastAsia="Arial" w:hAnsi="Arial"/>
          <w:b/>
          <w:bCs/>
          <w:color w:val="334155"/>
          <w:sz w:val="17"/>
          <w:szCs w:val="17"/>
        </w:rPr>
        <w:t xml:space="preserve">Empresa Demo</w:t>
      </w:r>
      <w:r>
        <w:rPr>
          <w:rFonts w:ascii="Arial" w:cs="Arial" w:eastAsia="Arial" w:hAnsi="Arial"/>
          <w:b w:val="false"/>
          <w:bCs w:val="false"/>
          <w:color w:val="334155"/>
          <w:sz w:val="17"/>
          <w:szCs w:val="17"/>
        </w:rPr>
        <w:t xml:space="preserve"> aparece vinculada como cliente de la asesoría.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9556"/>
      </w:tblGrid>
      <w:tr>
        <w:trPr>
          <w:cantSplit/>
        </w:trPr>
        <w:tc>
          <w:tcPr>
            <w:tcW w:type="dxa" w:w="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</w:t>
            </w:r>
          </w:p>
        </w:tc>
        <w:tc>
          <w:tcPr>
            <w:tcW w:type="dxa" w:w="9556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8FAFC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B1220"/>
                <w:sz w:val="16"/>
                <w:szCs w:val="16"/>
              </w:rPr>
              <w:t xml:space="preserve">Entorno de demostración.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Utilice datos ficticios y no introduzca información personal, fiscal o bancaria real. Las credenciales pueden restablecerse sin previo aviso.</w:t>
            </w:r>
          </w:p>
        </w:tc>
      </w:tr>
    </w:tbl>
    <w:sectPr>
      <w:footerReference w:type="default" r:id="rId7"/>
      <w:pgSz w:w="11906" w:h="16838" w:orient="portrait"/>
      <w:pgMar w:top="650" w:right="850" w:bottom="650" w:left="850" w:header="25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8"/>
      </w:pBdr>
      <w:spacing w:before="110"/>
      <w:jc w:val="center"/>
    </w:pPr>
    <w:r>
      <w:rPr>
        <w:rFonts w:ascii="Arial" w:cs="Arial" w:eastAsia="Arial" w:hAnsi="Arial"/>
        <w:b/>
        <w:bCs/>
        <w:color w:val="0369A1"/>
        <w:sz w:val="15"/>
        <w:szCs w:val="15"/>
      </w:rPr>
      <w:t xml:space="preserve">FILANEX</w:t>
    </w:r>
    <w:r>
      <w:rPr>
        <w:rFonts w:ascii="Arial" w:cs="Arial" w:eastAsia="Arial" w:hAnsi="Arial"/>
        <w:b w:val="false"/>
        <w:bCs w:val="false"/>
        <w:color w:val="64748B"/>
        <w:sz w:val="15"/>
        <w:szCs w:val="15"/>
      </w:rPr>
      <w:t xml:space="preserve">  ·  Entorno de demostración  ·  app.filanex.es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xjml11gghoz8dizdq680" Type="http://schemas.openxmlformats.org/officeDocument/2006/relationships/hyperlink" Target="https://app.filanex.es" TargetMode="External"/><Relationship Id="rId8" Type="http://schemas.openxmlformats.org/officeDocument/2006/relationships/image" Target="media/abe7981a6b0cd1a5a86ae595b544ccc18debfa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Credenciales de acceso al entorno de demostración FILANEX</dc:title>
  <dc:creator>FILANEX</dc:creator>
  <dc:description>Datos de acceso para Empresa Demo y Asesoría GASEN</dc:description>
  <cp:lastModifiedBy>Un-named</cp:lastModifiedBy>
  <cp:revision>1</cp:revision>
  <dcterms:created xsi:type="dcterms:W3CDTF">2026-09-16T17:33:44.099Z</dcterms:created>
  <dcterms:modified xsi:type="dcterms:W3CDTF">2026-09-16T17:33:44.100Z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