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85DFD" w14:textId="1FB347EC" w:rsidR="00B31943" w:rsidRDefault="005F248E" w:rsidP="00EA7C75">
      <w:pPr>
        <w:pStyle w:val="Title"/>
      </w:pPr>
      <w:proofErr w:type="spellStart"/>
      <w:r>
        <w:t>GwFile</w:t>
      </w:r>
      <w:bookmarkStart w:id="0" w:name="_GoBack"/>
      <w:bookmarkEnd w:id="0"/>
      <w:r w:rsidR="00660F11">
        <w:t>ProcessStatusValidator</w:t>
      </w:r>
      <w:proofErr w:type="spellEnd"/>
      <w:r w:rsidR="00EA7C75">
        <w:t xml:space="preserve"> </w:t>
      </w:r>
      <w:r w:rsidR="00CB1DA2">
        <w:t>Test Tool</w:t>
      </w:r>
    </w:p>
    <w:p w14:paraId="7CE203EB" w14:textId="08753A46" w:rsidR="00593E47" w:rsidRDefault="00B3669B" w:rsidP="00657F42">
      <w:pPr>
        <w:pStyle w:val="Heading1"/>
      </w:pPr>
      <w:r>
        <w:t>Conventions</w:t>
      </w:r>
    </w:p>
    <w:p w14:paraId="6F07CB5E" w14:textId="0ECD0BC0" w:rsidR="00593E47" w:rsidRDefault="00593E47" w:rsidP="00593E47">
      <w:r>
        <w:rPr>
          <w:b/>
        </w:rPr>
        <w:t xml:space="preserve">Bold </w:t>
      </w:r>
      <w:r w:rsidRPr="00593E47">
        <w:t xml:space="preserve">– This is used for </w:t>
      </w:r>
      <w:r w:rsidR="006A6A15">
        <w:t>key words that are used in the application UI.</w:t>
      </w:r>
    </w:p>
    <w:p w14:paraId="4F63D1B1" w14:textId="382790FC" w:rsidR="00990B9E" w:rsidRPr="00990B9E" w:rsidRDefault="00990B9E" w:rsidP="00593E47">
      <w:r>
        <w:rPr>
          <w:i/>
        </w:rPr>
        <w:t>Italics</w:t>
      </w:r>
      <w:r>
        <w:t xml:space="preserve"> – This is used to identify extracts from code or log files.</w:t>
      </w:r>
    </w:p>
    <w:p w14:paraId="57B85DFE" w14:textId="77777777" w:rsidR="00657F42" w:rsidRDefault="00657F42" w:rsidP="00657F42">
      <w:pPr>
        <w:pStyle w:val="Heading1"/>
      </w:pPr>
      <w:r>
        <w:t>Usage</w:t>
      </w:r>
    </w:p>
    <w:p w14:paraId="3AD477C8" w14:textId="06C2E242" w:rsidR="00660F11" w:rsidRDefault="00660F11" w:rsidP="003023E3">
      <w:r>
        <w:t xml:space="preserve">The </w:t>
      </w:r>
      <w:proofErr w:type="spellStart"/>
      <w:r>
        <w:t>GWFileProcessStatusValidator</w:t>
      </w:r>
      <w:proofErr w:type="spellEnd"/>
      <w:r>
        <w:t xml:space="preserve"> test application consists of an executable and DLL. The application is dependent on the Glasswall DLL being </w:t>
      </w:r>
      <w:r w:rsidR="0004020A">
        <w:t>provided in</w:t>
      </w:r>
      <w:r>
        <w:t xml:space="preserve"> the same folder. </w:t>
      </w:r>
    </w:p>
    <w:p w14:paraId="4F4B3AC8" w14:textId="33AB73C0" w:rsidR="00660F11" w:rsidRDefault="00660F11" w:rsidP="003023E3">
      <w:r>
        <w:rPr>
          <w:noProof/>
          <w:lang w:eastAsia="en-GB"/>
        </w:rPr>
        <w:drawing>
          <wp:inline distT="0" distB="0" distL="0" distR="0" wp14:anchorId="53846BAF" wp14:editId="6AA38256">
            <wp:extent cx="6667500" cy="193471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69956" cy="1935428"/>
                    </a:xfrm>
                    <a:prstGeom prst="rect">
                      <a:avLst/>
                    </a:prstGeom>
                  </pic:spPr>
                </pic:pic>
              </a:graphicData>
            </a:graphic>
          </wp:inline>
        </w:drawing>
      </w:r>
    </w:p>
    <w:p w14:paraId="730CB707" w14:textId="0FB48F9B" w:rsidR="00F14940" w:rsidRDefault="00660F11" w:rsidP="00F14940">
      <w:r>
        <w:t xml:space="preserve">Once running, the user is required to specify a folder that contains the documents that will be used as a test set. The folder can be selected by clicking on the </w:t>
      </w:r>
      <w:r w:rsidRPr="008E1116">
        <w:rPr>
          <w:b/>
        </w:rPr>
        <w:t>Find</w:t>
      </w:r>
      <w:r>
        <w:t xml:space="preserve"> button or dragging the folder from a file explorer. Once a valid folder is specified in the </w:t>
      </w:r>
      <w:r w:rsidRPr="008E1116">
        <w:rPr>
          <w:b/>
        </w:rPr>
        <w:t>Source</w:t>
      </w:r>
      <w:r>
        <w:t xml:space="preserve"> text-box</w:t>
      </w:r>
      <w:proofErr w:type="gramStart"/>
      <w:r>
        <w:t>,  the</w:t>
      </w:r>
      <w:proofErr w:type="gramEnd"/>
      <w:r w:rsidR="008E1116">
        <w:t xml:space="preserve"> </w:t>
      </w:r>
      <w:r w:rsidRPr="008E1116">
        <w:rPr>
          <w:b/>
        </w:rPr>
        <w:t>Process</w:t>
      </w:r>
      <w:r w:rsidR="008E1116">
        <w:rPr>
          <w:b/>
        </w:rPr>
        <w:t xml:space="preserve"> </w:t>
      </w:r>
      <w:r>
        <w:t>button is enabled.</w:t>
      </w:r>
    </w:p>
    <w:p w14:paraId="1C495230" w14:textId="5C349991" w:rsidR="00660F11" w:rsidRDefault="00660F11" w:rsidP="00F14940">
      <w:r>
        <w:t xml:space="preserve">To start processing the files in the specified folder hierarchy the </w:t>
      </w:r>
      <w:r w:rsidRPr="008E1116">
        <w:rPr>
          <w:b/>
        </w:rPr>
        <w:t>Process</w:t>
      </w:r>
      <w:r>
        <w:t xml:space="preserve"> button is clicked. The application will navigate through the specified folder hierarchy attempting to process each file. The </w:t>
      </w:r>
      <w:r w:rsidR="00C50564">
        <w:t xml:space="preserve">processing </w:t>
      </w:r>
      <w:r>
        <w:t xml:space="preserve">results </w:t>
      </w:r>
      <w:r w:rsidR="00C50564">
        <w:t>are</w:t>
      </w:r>
      <w:r>
        <w:t xml:space="preserve"> shown in the data table displayed in the bottom half of the UI.</w:t>
      </w:r>
    </w:p>
    <w:p w14:paraId="383F5666" w14:textId="67073FA5" w:rsidR="0004020A" w:rsidRDefault="0004020A" w:rsidP="00F14940">
      <w:r>
        <w:rPr>
          <w:noProof/>
          <w:lang w:eastAsia="en-GB"/>
        </w:rPr>
        <w:drawing>
          <wp:inline distT="0" distB="0" distL="0" distR="0" wp14:anchorId="1C219701" wp14:editId="2D9A80A6">
            <wp:extent cx="6600825" cy="24555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04619" cy="2456974"/>
                    </a:xfrm>
                    <a:prstGeom prst="rect">
                      <a:avLst/>
                    </a:prstGeom>
                  </pic:spPr>
                </pic:pic>
              </a:graphicData>
            </a:graphic>
          </wp:inline>
        </w:drawing>
      </w:r>
    </w:p>
    <w:p w14:paraId="1B462DEF" w14:textId="1B6D3855" w:rsidR="0004020A" w:rsidRDefault="0004020A" w:rsidP="00F14940">
      <w:r>
        <w:t>Once processing is completed, the results can be exported to a text file</w:t>
      </w:r>
      <w:r w:rsidR="008E1116">
        <w:t xml:space="preserve">. The menu option for this feature can be found under the </w:t>
      </w:r>
      <w:r w:rsidR="008E1116">
        <w:rPr>
          <w:b/>
        </w:rPr>
        <w:t>File</w:t>
      </w:r>
      <w:r w:rsidR="008E1116">
        <w:t xml:space="preserve"> menu item</w:t>
      </w:r>
      <w:r>
        <w:t xml:space="preserve">. The </w:t>
      </w:r>
      <w:r w:rsidR="008E1116">
        <w:t xml:space="preserve">exported results </w:t>
      </w:r>
      <w:r>
        <w:t>file structure is explained below.</w:t>
      </w:r>
    </w:p>
    <w:p w14:paraId="49D67B02" w14:textId="588A0BB1" w:rsidR="00F14940" w:rsidRDefault="00F14940" w:rsidP="003023E3">
      <w:pPr>
        <w:pStyle w:val="Heading1"/>
      </w:pPr>
      <w:r>
        <w:lastRenderedPageBreak/>
        <w:t>Config</w:t>
      </w:r>
      <w:r w:rsidR="00660F11">
        <w:t>uration</w:t>
      </w:r>
    </w:p>
    <w:p w14:paraId="70F497C6" w14:textId="52D569F2" w:rsidR="00593E47" w:rsidRDefault="008E1116" w:rsidP="00593E47">
      <w:r>
        <w:t>Three pre-set</w:t>
      </w:r>
      <w:r w:rsidR="0004020A">
        <w:t xml:space="preserve"> configuration management policies</w:t>
      </w:r>
      <w:r>
        <w:t xml:space="preserve"> are available</w:t>
      </w:r>
      <w:r w:rsidR="0004020A">
        <w:t xml:space="preserve">. The required policy can be selected from the </w:t>
      </w:r>
      <w:r w:rsidR="0004020A" w:rsidRPr="00421D88">
        <w:rPr>
          <w:b/>
        </w:rPr>
        <w:t>Configuration</w:t>
      </w:r>
      <w:r w:rsidR="0004020A">
        <w:t xml:space="preserve"> menu item. The available </w:t>
      </w:r>
      <w:r>
        <w:t>pre-sets</w:t>
      </w:r>
      <w:r w:rsidR="0004020A">
        <w:t xml:space="preserve"> are ‘Allow’, ‘Disallow’ or ‘Sanitisation’. Within each </w:t>
      </w:r>
      <w:r>
        <w:t>pre-set</w:t>
      </w:r>
      <w:r w:rsidR="0004020A">
        <w:t xml:space="preserve">, the content management switches for each camera are </w:t>
      </w:r>
      <w:r>
        <w:t xml:space="preserve">all </w:t>
      </w:r>
      <w:r w:rsidR="0004020A">
        <w:t xml:space="preserve">set to the </w:t>
      </w:r>
      <w:r>
        <w:t>named</w:t>
      </w:r>
      <w:r w:rsidR="0004020A">
        <w:t xml:space="preserve"> content management setting. </w:t>
      </w:r>
    </w:p>
    <w:p w14:paraId="7CAB18BE" w14:textId="4AE1356C" w:rsidR="0004020A" w:rsidRDefault="0004020A" w:rsidP="0004020A">
      <w:pPr>
        <w:pStyle w:val="Heading1"/>
      </w:pPr>
      <w:r>
        <w:t>Operation</w:t>
      </w:r>
    </w:p>
    <w:p w14:paraId="181F7B9E" w14:textId="77C1EB2A" w:rsidR="0004020A" w:rsidRDefault="0096551F" w:rsidP="00593E47">
      <w:r>
        <w:t>The application processes each file twice, once using Analysis Audit, then again with Manage &amp; Protect. The Analysis Report is then parsed and the contents checked against the status results provided by the Glasswall processing. Where the status values are inconsistent with the Analysis Report contents assessment report</w:t>
      </w:r>
      <w:r w:rsidR="00421D88">
        <w:t>s</w:t>
      </w:r>
      <w:r>
        <w:t xml:space="preserve"> </w:t>
      </w:r>
      <w:r w:rsidR="00421D88">
        <w:t>are</w:t>
      </w:r>
      <w:r>
        <w:t xml:space="preserve"> generated. In addition to the status values being compared to the Analysis Report, there are also comparisons made between the outputs of the two processing modes.</w:t>
      </w:r>
    </w:p>
    <w:p w14:paraId="3DFA30D6" w14:textId="6175C4BF" w:rsidR="005E1E4E" w:rsidRDefault="005E1E4E" w:rsidP="00593E47">
      <w:r>
        <w:t>The results of the checks are displayed in the UI in tabular form</w:t>
      </w:r>
      <w:r w:rsidR="00141C1B">
        <w:t xml:space="preserve">. The columns are colour coded to clearly identify </w:t>
      </w:r>
      <w:r w:rsidR="00421D88">
        <w:t>the Analysis Report results (Y</w:t>
      </w:r>
      <w:r w:rsidR="006A6A15">
        <w:t>ellow) the Analysis Process Results (Orange) and the Protect Process Results (Blue)</w:t>
      </w:r>
      <w:r>
        <w:t>. The following sections describe each of the columns.</w:t>
      </w:r>
    </w:p>
    <w:tbl>
      <w:tblPr>
        <w:tblStyle w:val="LightShading-Accent1"/>
        <w:tblW w:w="0" w:type="auto"/>
        <w:tblLook w:val="04A0" w:firstRow="1" w:lastRow="0" w:firstColumn="1" w:lastColumn="0" w:noHBand="0" w:noVBand="1"/>
      </w:tblPr>
      <w:tblGrid>
        <w:gridCol w:w="2518"/>
        <w:gridCol w:w="8164"/>
      </w:tblGrid>
      <w:tr w:rsidR="005E1E4E" w14:paraId="4FC68058" w14:textId="77777777" w:rsidTr="005E1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08C5303" w14:textId="0D368D55" w:rsidR="005E1E4E" w:rsidRDefault="005E1E4E" w:rsidP="00593E47">
            <w:r>
              <w:t>Column Name</w:t>
            </w:r>
          </w:p>
        </w:tc>
        <w:tc>
          <w:tcPr>
            <w:tcW w:w="8164" w:type="dxa"/>
          </w:tcPr>
          <w:p w14:paraId="52598815" w14:textId="00D8B5CC" w:rsidR="005E1E4E" w:rsidRDefault="005E1E4E" w:rsidP="00593E47">
            <w:pPr>
              <w:cnfStyle w:val="100000000000" w:firstRow="1" w:lastRow="0" w:firstColumn="0" w:lastColumn="0" w:oddVBand="0" w:evenVBand="0" w:oddHBand="0" w:evenHBand="0" w:firstRowFirstColumn="0" w:firstRowLastColumn="0" w:lastRowFirstColumn="0" w:lastRowLastColumn="0"/>
            </w:pPr>
            <w:r>
              <w:t>Description</w:t>
            </w:r>
          </w:p>
        </w:tc>
      </w:tr>
      <w:tr w:rsidR="005E1E4E" w14:paraId="0AB172F1" w14:textId="77777777" w:rsidTr="005E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C34AF8A" w14:textId="60632F32" w:rsidR="005E1E4E" w:rsidRDefault="005E1E4E" w:rsidP="00593E47">
            <w:r>
              <w:t>Filename</w:t>
            </w:r>
          </w:p>
        </w:tc>
        <w:tc>
          <w:tcPr>
            <w:tcW w:w="8164" w:type="dxa"/>
          </w:tcPr>
          <w:p w14:paraId="2C3F1265" w14:textId="58166CCD" w:rsidR="005E1E4E" w:rsidRDefault="005E1E4E" w:rsidP="00593E47">
            <w:pPr>
              <w:cnfStyle w:val="000000100000" w:firstRow="0" w:lastRow="0" w:firstColumn="0" w:lastColumn="0" w:oddVBand="0" w:evenVBand="0" w:oddHBand="1" w:evenHBand="0" w:firstRowFirstColumn="0" w:firstRowLastColumn="0" w:lastRowFirstColumn="0" w:lastRowLastColumn="0"/>
            </w:pPr>
            <w:r>
              <w:t>The full pathname of the file being analysed.</w:t>
            </w:r>
          </w:p>
        </w:tc>
      </w:tr>
      <w:tr w:rsidR="005E1E4E" w14:paraId="143C7094" w14:textId="77777777" w:rsidTr="005E1E4E">
        <w:tc>
          <w:tcPr>
            <w:cnfStyle w:val="001000000000" w:firstRow="0" w:lastRow="0" w:firstColumn="1" w:lastColumn="0" w:oddVBand="0" w:evenVBand="0" w:oddHBand="0" w:evenHBand="0" w:firstRowFirstColumn="0" w:firstRowLastColumn="0" w:lastRowFirstColumn="0" w:lastRowLastColumn="0"/>
            <w:tcW w:w="2518" w:type="dxa"/>
          </w:tcPr>
          <w:p w14:paraId="1F309F90" w14:textId="6DB79F40" w:rsidR="005E1E4E" w:rsidRDefault="005E1E4E" w:rsidP="00593E47">
            <w:r>
              <w:t>Issues</w:t>
            </w:r>
          </w:p>
        </w:tc>
        <w:tc>
          <w:tcPr>
            <w:tcW w:w="8164" w:type="dxa"/>
          </w:tcPr>
          <w:p w14:paraId="2766223E" w14:textId="2CDCF051" w:rsidR="005E1E4E" w:rsidRPr="00141C1B" w:rsidRDefault="00141C1B" w:rsidP="00141C1B">
            <w:pPr>
              <w:cnfStyle w:val="000000000000" w:firstRow="0" w:lastRow="0" w:firstColumn="0" w:lastColumn="0" w:oddVBand="0" w:evenVBand="0" w:oddHBand="0" w:evenHBand="0" w:firstRowFirstColumn="0" w:firstRowLastColumn="0" w:lastRowFirstColumn="0" w:lastRowLastColumn="0"/>
            </w:pPr>
            <w:r>
              <w:rPr>
                <w:b/>
              </w:rPr>
              <w:t>True</w:t>
            </w:r>
            <w:r>
              <w:t xml:space="preserve"> if any Issue Items are found in the Analysis Report, </w:t>
            </w:r>
            <w:r>
              <w:rPr>
                <w:b/>
              </w:rPr>
              <w:t>False</w:t>
            </w:r>
            <w:r>
              <w:t xml:space="preserve"> otherwise.</w:t>
            </w:r>
          </w:p>
        </w:tc>
      </w:tr>
      <w:tr w:rsidR="00141C1B" w14:paraId="7CDA835A" w14:textId="77777777" w:rsidTr="005E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54FE3B0" w14:textId="65EE0B21" w:rsidR="00141C1B" w:rsidRDefault="00141C1B" w:rsidP="00593E47">
            <w:r>
              <w:t>Remedies</w:t>
            </w:r>
          </w:p>
        </w:tc>
        <w:tc>
          <w:tcPr>
            <w:tcW w:w="8164" w:type="dxa"/>
          </w:tcPr>
          <w:p w14:paraId="54DEA7DC" w14:textId="50C73766" w:rsidR="00141C1B" w:rsidRDefault="00141C1B" w:rsidP="00141C1B">
            <w:pPr>
              <w:cnfStyle w:val="000000100000" w:firstRow="0" w:lastRow="0" w:firstColumn="0" w:lastColumn="0" w:oddVBand="0" w:evenVBand="0" w:oddHBand="1" w:evenHBand="0" w:firstRowFirstColumn="0" w:firstRowLastColumn="0" w:lastRowFirstColumn="0" w:lastRowLastColumn="0"/>
              <w:rPr>
                <w:b/>
              </w:rPr>
            </w:pPr>
            <w:r>
              <w:rPr>
                <w:b/>
              </w:rPr>
              <w:t>True</w:t>
            </w:r>
            <w:r>
              <w:t xml:space="preserve"> if any </w:t>
            </w:r>
            <w:r>
              <w:t>Remedy Items</w:t>
            </w:r>
            <w:r>
              <w:t xml:space="preserve"> are found in the Analysis Report, </w:t>
            </w:r>
            <w:r>
              <w:rPr>
                <w:b/>
              </w:rPr>
              <w:t>False</w:t>
            </w:r>
            <w:r>
              <w:t xml:space="preserve"> otherwise.</w:t>
            </w:r>
          </w:p>
        </w:tc>
      </w:tr>
      <w:tr w:rsidR="00141C1B" w14:paraId="4D79E482" w14:textId="77777777" w:rsidTr="005E1E4E">
        <w:tc>
          <w:tcPr>
            <w:cnfStyle w:val="001000000000" w:firstRow="0" w:lastRow="0" w:firstColumn="1" w:lastColumn="0" w:oddVBand="0" w:evenVBand="0" w:oddHBand="0" w:evenHBand="0" w:firstRowFirstColumn="0" w:firstRowLastColumn="0" w:lastRowFirstColumn="0" w:lastRowLastColumn="0"/>
            <w:tcW w:w="2518" w:type="dxa"/>
          </w:tcPr>
          <w:p w14:paraId="561C0B40" w14:textId="58402CD0" w:rsidR="00141C1B" w:rsidRDefault="00141C1B" w:rsidP="00593E47">
            <w:r>
              <w:t>Sanitisations</w:t>
            </w:r>
          </w:p>
        </w:tc>
        <w:tc>
          <w:tcPr>
            <w:tcW w:w="8164" w:type="dxa"/>
          </w:tcPr>
          <w:p w14:paraId="0CE87915" w14:textId="796DFB11" w:rsidR="00141C1B" w:rsidRDefault="00141C1B" w:rsidP="00141C1B">
            <w:pPr>
              <w:cnfStyle w:val="000000000000" w:firstRow="0" w:lastRow="0" w:firstColumn="0" w:lastColumn="0" w:oddVBand="0" w:evenVBand="0" w:oddHBand="0" w:evenHBand="0" w:firstRowFirstColumn="0" w:firstRowLastColumn="0" w:lastRowFirstColumn="0" w:lastRowLastColumn="0"/>
              <w:rPr>
                <w:b/>
              </w:rPr>
            </w:pPr>
            <w:r>
              <w:rPr>
                <w:b/>
              </w:rPr>
              <w:t>True</w:t>
            </w:r>
            <w:r>
              <w:t xml:space="preserve"> if any </w:t>
            </w:r>
            <w:r>
              <w:t>Sanitisation Items</w:t>
            </w:r>
            <w:r>
              <w:t xml:space="preserve"> are found in the Analysis Report, </w:t>
            </w:r>
            <w:r>
              <w:rPr>
                <w:b/>
              </w:rPr>
              <w:t>False</w:t>
            </w:r>
            <w:r>
              <w:t xml:space="preserve"> otherwise.</w:t>
            </w:r>
          </w:p>
        </w:tc>
      </w:tr>
      <w:tr w:rsidR="00141C1B" w14:paraId="284D6170" w14:textId="77777777" w:rsidTr="005E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914EE95" w14:textId="3B9FCFF1" w:rsidR="00141C1B" w:rsidRDefault="00141C1B" w:rsidP="00593E47">
            <w:r>
              <w:t xml:space="preserve">Analysis </w:t>
            </w:r>
            <w:proofErr w:type="spellStart"/>
            <w:r>
              <w:t>GwStatus</w:t>
            </w:r>
            <w:proofErr w:type="spellEnd"/>
          </w:p>
        </w:tc>
        <w:tc>
          <w:tcPr>
            <w:tcW w:w="8164" w:type="dxa"/>
          </w:tcPr>
          <w:p w14:paraId="1311AE03" w14:textId="1F568608" w:rsidR="00141C1B" w:rsidRPr="00141C1B" w:rsidRDefault="00141C1B" w:rsidP="00141C1B">
            <w:pPr>
              <w:cnfStyle w:val="000000100000" w:firstRow="0" w:lastRow="0" w:firstColumn="0" w:lastColumn="0" w:oddVBand="0" w:evenVBand="0" w:oddHBand="1" w:evenHBand="0" w:firstRowFirstColumn="0" w:firstRowLastColumn="0" w:lastRowFirstColumn="0" w:lastRowLastColumn="0"/>
            </w:pPr>
            <w:r w:rsidRPr="00141C1B">
              <w:t xml:space="preserve">Return value from </w:t>
            </w:r>
            <w:r>
              <w:t xml:space="preserve">the Glasswall API function </w:t>
            </w:r>
            <w:proofErr w:type="spellStart"/>
            <w:r w:rsidRPr="00141C1B">
              <w:t>GWFileAnalysisAudit</w:t>
            </w:r>
            <w:proofErr w:type="spellEnd"/>
            <w:r>
              <w:t>.</w:t>
            </w:r>
          </w:p>
        </w:tc>
      </w:tr>
      <w:tr w:rsidR="00141C1B" w14:paraId="36EC5C24" w14:textId="77777777" w:rsidTr="005E1E4E">
        <w:tc>
          <w:tcPr>
            <w:cnfStyle w:val="001000000000" w:firstRow="0" w:lastRow="0" w:firstColumn="1" w:lastColumn="0" w:oddVBand="0" w:evenVBand="0" w:oddHBand="0" w:evenHBand="0" w:firstRowFirstColumn="0" w:firstRowLastColumn="0" w:lastRowFirstColumn="0" w:lastRowLastColumn="0"/>
            <w:tcW w:w="2518" w:type="dxa"/>
          </w:tcPr>
          <w:p w14:paraId="2782E448" w14:textId="24979C15" w:rsidR="00141C1B" w:rsidRDefault="00141C1B" w:rsidP="00593E47">
            <w:r>
              <w:t>Analysis Process Status</w:t>
            </w:r>
          </w:p>
        </w:tc>
        <w:tc>
          <w:tcPr>
            <w:tcW w:w="8164" w:type="dxa"/>
          </w:tcPr>
          <w:p w14:paraId="637C699B" w14:textId="1BE5C6D0" w:rsidR="00141C1B" w:rsidRPr="00141C1B" w:rsidRDefault="00141C1B" w:rsidP="00141C1B">
            <w:pPr>
              <w:cnfStyle w:val="000000000000" w:firstRow="0" w:lastRow="0" w:firstColumn="0" w:lastColumn="0" w:oddVBand="0" w:evenVBand="0" w:oddHBand="0" w:evenHBand="0" w:firstRowFirstColumn="0" w:firstRowLastColumn="0" w:lastRowFirstColumn="0" w:lastRowLastColumn="0"/>
            </w:pPr>
            <w:r>
              <w:t xml:space="preserve">Status value provided by the Glasswall API function </w:t>
            </w:r>
            <w:proofErr w:type="spellStart"/>
            <w:r w:rsidRPr="00141C1B">
              <w:t>GWFileProcessStatus</w:t>
            </w:r>
            <w:proofErr w:type="spellEnd"/>
            <w:r>
              <w:t xml:space="preserve">, after the call to </w:t>
            </w:r>
            <w:proofErr w:type="spellStart"/>
            <w:r w:rsidRPr="00141C1B">
              <w:t>GWFileAnalysisAudit</w:t>
            </w:r>
            <w:proofErr w:type="spellEnd"/>
            <w:r>
              <w:t>.</w:t>
            </w:r>
          </w:p>
        </w:tc>
      </w:tr>
      <w:tr w:rsidR="00141C1B" w14:paraId="295F04A1" w14:textId="77777777" w:rsidTr="005E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F732A76" w14:textId="3D415288" w:rsidR="00141C1B" w:rsidRDefault="00141C1B" w:rsidP="00593E47">
            <w:r>
              <w:t>Analysis Assessment</w:t>
            </w:r>
          </w:p>
        </w:tc>
        <w:tc>
          <w:tcPr>
            <w:tcW w:w="8164" w:type="dxa"/>
          </w:tcPr>
          <w:p w14:paraId="4030C0BE" w14:textId="3E308C9F" w:rsidR="00141C1B" w:rsidRPr="00141C1B" w:rsidRDefault="00141C1B" w:rsidP="00141C1B">
            <w:pPr>
              <w:cnfStyle w:val="000000100000" w:firstRow="0" w:lastRow="0" w:firstColumn="0" w:lastColumn="0" w:oddVBand="0" w:evenVBand="0" w:oddHBand="1" w:evenHBand="0" w:firstRowFirstColumn="0" w:firstRowLastColumn="0" w:lastRowFirstColumn="0" w:lastRowLastColumn="0"/>
              <w:rPr>
                <w:b/>
              </w:rPr>
            </w:pPr>
            <w:r>
              <w:rPr>
                <w:b/>
              </w:rPr>
              <w:t>Consistent</w:t>
            </w:r>
            <w:r>
              <w:t xml:space="preserve"> if the </w:t>
            </w:r>
            <w:r w:rsidRPr="00141C1B">
              <w:rPr>
                <w:b/>
              </w:rPr>
              <w:t xml:space="preserve">Analysis </w:t>
            </w:r>
            <w:proofErr w:type="spellStart"/>
            <w:r w:rsidRPr="00141C1B">
              <w:rPr>
                <w:b/>
              </w:rPr>
              <w:t>GwStatus</w:t>
            </w:r>
            <w:proofErr w:type="spellEnd"/>
            <w:r>
              <w:rPr>
                <w:b/>
              </w:rPr>
              <w:t xml:space="preserve"> </w:t>
            </w:r>
            <w:r w:rsidRPr="00141C1B">
              <w:t>and</w:t>
            </w:r>
            <w:r>
              <w:rPr>
                <w:b/>
              </w:rPr>
              <w:t xml:space="preserve"> </w:t>
            </w:r>
            <w:r w:rsidRPr="00141C1B">
              <w:rPr>
                <w:b/>
              </w:rPr>
              <w:t>Analysis Process Status</w:t>
            </w:r>
            <w:r>
              <w:rPr>
                <w:b/>
              </w:rPr>
              <w:t xml:space="preserve"> </w:t>
            </w:r>
            <w:r w:rsidRPr="00141C1B">
              <w:t>are consistent with contents of the Analysis Report</w:t>
            </w:r>
            <w:r>
              <w:t xml:space="preserve"> (i.e. </w:t>
            </w:r>
            <w:r>
              <w:rPr>
                <w:b/>
              </w:rPr>
              <w:t xml:space="preserve">Issues, Remedies </w:t>
            </w:r>
            <w:r w:rsidRPr="00141C1B">
              <w:t>and</w:t>
            </w:r>
            <w:r>
              <w:rPr>
                <w:b/>
              </w:rPr>
              <w:t xml:space="preserve"> Sanitisations).</w:t>
            </w:r>
          </w:p>
        </w:tc>
      </w:tr>
      <w:tr w:rsidR="00141C1B" w14:paraId="44AD41F0" w14:textId="77777777" w:rsidTr="005E1E4E">
        <w:tc>
          <w:tcPr>
            <w:cnfStyle w:val="001000000000" w:firstRow="0" w:lastRow="0" w:firstColumn="1" w:lastColumn="0" w:oddVBand="0" w:evenVBand="0" w:oddHBand="0" w:evenHBand="0" w:firstRowFirstColumn="0" w:firstRowLastColumn="0" w:lastRowFirstColumn="0" w:lastRowLastColumn="0"/>
            <w:tcW w:w="2518" w:type="dxa"/>
          </w:tcPr>
          <w:p w14:paraId="61B0C54D" w14:textId="45C76DBA" w:rsidR="00141C1B" w:rsidRDefault="00141C1B" w:rsidP="00593E47">
            <w:r>
              <w:t>Analysis Error Message</w:t>
            </w:r>
          </w:p>
        </w:tc>
        <w:tc>
          <w:tcPr>
            <w:tcW w:w="8164" w:type="dxa"/>
          </w:tcPr>
          <w:p w14:paraId="558E06F1" w14:textId="61C6BBB0" w:rsidR="00141C1B" w:rsidRDefault="00141C1B" w:rsidP="00141C1B">
            <w:pPr>
              <w:cnfStyle w:val="000000000000" w:firstRow="0" w:lastRow="0" w:firstColumn="0" w:lastColumn="0" w:oddVBand="0" w:evenVBand="0" w:oddHBand="0" w:evenHBand="0" w:firstRowFirstColumn="0" w:firstRowLastColumn="0" w:lastRowFirstColumn="0" w:lastRowLastColumn="0"/>
              <w:rPr>
                <w:b/>
              </w:rPr>
            </w:pPr>
            <w:r w:rsidRPr="00141C1B">
              <w:t xml:space="preserve">Return value from </w:t>
            </w:r>
            <w:r>
              <w:t>the Glasswall API function</w:t>
            </w:r>
            <w:r>
              <w:t xml:space="preserve"> </w:t>
            </w:r>
            <w:proofErr w:type="spellStart"/>
            <w:r w:rsidRPr="00141C1B">
              <w:t>GWFileErrorMsg</w:t>
            </w:r>
            <w:proofErr w:type="spellEnd"/>
            <w:r>
              <w:t xml:space="preserve">, after the call to </w:t>
            </w:r>
            <w:proofErr w:type="spellStart"/>
            <w:r w:rsidRPr="00141C1B">
              <w:t>GWFileAnalysisAudit</w:t>
            </w:r>
            <w:proofErr w:type="spellEnd"/>
            <w:r>
              <w:t>.</w:t>
            </w:r>
          </w:p>
        </w:tc>
      </w:tr>
      <w:tr w:rsidR="00141C1B" w14:paraId="7F40C014" w14:textId="77777777" w:rsidTr="005E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63AA967" w14:textId="7215BDF7" w:rsidR="00141C1B" w:rsidRDefault="00141C1B" w:rsidP="00593E47">
            <w:r>
              <w:t xml:space="preserve">Protect </w:t>
            </w:r>
            <w:proofErr w:type="spellStart"/>
            <w:r>
              <w:t>GwStatus</w:t>
            </w:r>
            <w:proofErr w:type="spellEnd"/>
          </w:p>
        </w:tc>
        <w:tc>
          <w:tcPr>
            <w:tcW w:w="8164" w:type="dxa"/>
          </w:tcPr>
          <w:p w14:paraId="6381A26B" w14:textId="7C3A95BA" w:rsidR="00141C1B" w:rsidRPr="00141C1B" w:rsidRDefault="00141C1B" w:rsidP="00141C1B">
            <w:pPr>
              <w:cnfStyle w:val="000000100000" w:firstRow="0" w:lastRow="0" w:firstColumn="0" w:lastColumn="0" w:oddVBand="0" w:evenVBand="0" w:oddHBand="1" w:evenHBand="0" w:firstRowFirstColumn="0" w:firstRowLastColumn="0" w:lastRowFirstColumn="0" w:lastRowLastColumn="0"/>
            </w:pPr>
            <w:r w:rsidRPr="00141C1B">
              <w:t xml:space="preserve">Return value from </w:t>
            </w:r>
            <w:r>
              <w:t>the Glasswall API function</w:t>
            </w:r>
            <w:r>
              <w:t xml:space="preserve"> </w:t>
            </w:r>
            <w:proofErr w:type="spellStart"/>
            <w:r w:rsidRPr="00141C1B">
              <w:t>GWFileProtect</w:t>
            </w:r>
            <w:proofErr w:type="spellEnd"/>
            <w:r>
              <w:t>.</w:t>
            </w:r>
          </w:p>
        </w:tc>
      </w:tr>
      <w:tr w:rsidR="00141C1B" w14:paraId="719A448A" w14:textId="77777777" w:rsidTr="005E1E4E">
        <w:tc>
          <w:tcPr>
            <w:cnfStyle w:val="001000000000" w:firstRow="0" w:lastRow="0" w:firstColumn="1" w:lastColumn="0" w:oddVBand="0" w:evenVBand="0" w:oddHBand="0" w:evenHBand="0" w:firstRowFirstColumn="0" w:firstRowLastColumn="0" w:lastRowFirstColumn="0" w:lastRowLastColumn="0"/>
            <w:tcW w:w="2518" w:type="dxa"/>
          </w:tcPr>
          <w:p w14:paraId="2A6ABEA7" w14:textId="1124CE6C" w:rsidR="00141C1B" w:rsidRDefault="00141C1B" w:rsidP="00593E47">
            <w:r>
              <w:t>Protect Process Status</w:t>
            </w:r>
          </w:p>
        </w:tc>
        <w:tc>
          <w:tcPr>
            <w:tcW w:w="8164" w:type="dxa"/>
          </w:tcPr>
          <w:p w14:paraId="5C20CE61" w14:textId="314FCEDD" w:rsidR="00141C1B" w:rsidRPr="00141C1B" w:rsidRDefault="00141C1B" w:rsidP="00141C1B">
            <w:pPr>
              <w:cnfStyle w:val="000000000000" w:firstRow="0" w:lastRow="0" w:firstColumn="0" w:lastColumn="0" w:oddVBand="0" w:evenVBand="0" w:oddHBand="0" w:evenHBand="0" w:firstRowFirstColumn="0" w:firstRowLastColumn="0" w:lastRowFirstColumn="0" w:lastRowLastColumn="0"/>
            </w:pPr>
            <w:r>
              <w:t xml:space="preserve">Status value provided by the Glasswall API function </w:t>
            </w:r>
            <w:proofErr w:type="spellStart"/>
            <w:r w:rsidRPr="00141C1B">
              <w:t>GWFileProcessStatus</w:t>
            </w:r>
            <w:proofErr w:type="spellEnd"/>
            <w:r>
              <w:t>, after the call to</w:t>
            </w:r>
            <w:r>
              <w:t xml:space="preserve"> </w:t>
            </w:r>
            <w:proofErr w:type="spellStart"/>
            <w:r w:rsidRPr="00141C1B">
              <w:t>GWFileProtect</w:t>
            </w:r>
            <w:proofErr w:type="spellEnd"/>
            <w:r>
              <w:t>.</w:t>
            </w:r>
          </w:p>
        </w:tc>
      </w:tr>
      <w:tr w:rsidR="00421D88" w14:paraId="7E9D9C9F" w14:textId="77777777" w:rsidTr="005E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0291DD5" w14:textId="7F8E87D4" w:rsidR="00421D88" w:rsidRDefault="00421D88" w:rsidP="00593E47">
            <w:r>
              <w:t>Protect Assessment</w:t>
            </w:r>
          </w:p>
        </w:tc>
        <w:tc>
          <w:tcPr>
            <w:tcW w:w="8164" w:type="dxa"/>
          </w:tcPr>
          <w:p w14:paraId="046A5723" w14:textId="0CE8EA4C" w:rsidR="00421D88" w:rsidRPr="00141C1B" w:rsidRDefault="00421D88" w:rsidP="00421D88">
            <w:pPr>
              <w:cnfStyle w:val="000000100000" w:firstRow="0" w:lastRow="0" w:firstColumn="0" w:lastColumn="0" w:oddVBand="0" w:evenVBand="0" w:oddHBand="1" w:evenHBand="0" w:firstRowFirstColumn="0" w:firstRowLastColumn="0" w:lastRowFirstColumn="0" w:lastRowLastColumn="0"/>
            </w:pPr>
            <w:r>
              <w:rPr>
                <w:b/>
              </w:rPr>
              <w:t>Consistent</w:t>
            </w:r>
            <w:r>
              <w:t xml:space="preserve"> if the </w:t>
            </w:r>
            <w:r>
              <w:rPr>
                <w:b/>
              </w:rPr>
              <w:t>Protect</w:t>
            </w:r>
            <w:r w:rsidRPr="00141C1B">
              <w:rPr>
                <w:b/>
              </w:rPr>
              <w:t xml:space="preserve"> </w:t>
            </w:r>
            <w:proofErr w:type="spellStart"/>
            <w:r w:rsidRPr="00141C1B">
              <w:rPr>
                <w:b/>
              </w:rPr>
              <w:t>GwStatus</w:t>
            </w:r>
            <w:proofErr w:type="spellEnd"/>
            <w:r>
              <w:rPr>
                <w:b/>
              </w:rPr>
              <w:t xml:space="preserve"> </w:t>
            </w:r>
            <w:r w:rsidRPr="00141C1B">
              <w:t>and</w:t>
            </w:r>
            <w:r>
              <w:rPr>
                <w:b/>
              </w:rPr>
              <w:t xml:space="preserve"> Protect</w:t>
            </w:r>
            <w:r w:rsidRPr="00141C1B">
              <w:rPr>
                <w:b/>
              </w:rPr>
              <w:t xml:space="preserve"> Process Status</w:t>
            </w:r>
            <w:r>
              <w:rPr>
                <w:b/>
              </w:rPr>
              <w:t xml:space="preserve"> </w:t>
            </w:r>
            <w:r w:rsidRPr="00141C1B">
              <w:t>are consistent with contents of the Analysis Report</w:t>
            </w:r>
            <w:r>
              <w:t xml:space="preserve"> (i.e. </w:t>
            </w:r>
            <w:r>
              <w:rPr>
                <w:b/>
              </w:rPr>
              <w:t xml:space="preserve">Issues, Remedies </w:t>
            </w:r>
            <w:r w:rsidRPr="00141C1B">
              <w:t>and</w:t>
            </w:r>
            <w:r>
              <w:rPr>
                <w:b/>
              </w:rPr>
              <w:t xml:space="preserve"> Sanitisations).</w:t>
            </w:r>
          </w:p>
        </w:tc>
      </w:tr>
      <w:tr w:rsidR="00141C1B" w14:paraId="3FB16A12" w14:textId="77777777" w:rsidTr="005E1E4E">
        <w:tc>
          <w:tcPr>
            <w:cnfStyle w:val="001000000000" w:firstRow="0" w:lastRow="0" w:firstColumn="1" w:lastColumn="0" w:oddVBand="0" w:evenVBand="0" w:oddHBand="0" w:evenHBand="0" w:firstRowFirstColumn="0" w:firstRowLastColumn="0" w:lastRowFirstColumn="0" w:lastRowLastColumn="0"/>
            <w:tcW w:w="2518" w:type="dxa"/>
          </w:tcPr>
          <w:p w14:paraId="5D1B155F" w14:textId="143F0E15" w:rsidR="00141C1B" w:rsidRDefault="00141C1B" w:rsidP="00593E47">
            <w:r>
              <w:t>Protect Error Message</w:t>
            </w:r>
          </w:p>
        </w:tc>
        <w:tc>
          <w:tcPr>
            <w:tcW w:w="8164" w:type="dxa"/>
          </w:tcPr>
          <w:p w14:paraId="730FC97B" w14:textId="2C18D608" w:rsidR="00141C1B" w:rsidRPr="00141C1B" w:rsidRDefault="00141C1B" w:rsidP="00141C1B">
            <w:pPr>
              <w:cnfStyle w:val="000000000000" w:firstRow="0" w:lastRow="0" w:firstColumn="0" w:lastColumn="0" w:oddVBand="0" w:evenVBand="0" w:oddHBand="0" w:evenHBand="0" w:firstRowFirstColumn="0" w:firstRowLastColumn="0" w:lastRowFirstColumn="0" w:lastRowLastColumn="0"/>
            </w:pPr>
            <w:r w:rsidRPr="00141C1B">
              <w:t xml:space="preserve">Return value from </w:t>
            </w:r>
            <w:r>
              <w:t xml:space="preserve">the Glasswall API function </w:t>
            </w:r>
            <w:proofErr w:type="spellStart"/>
            <w:r w:rsidRPr="00141C1B">
              <w:t>GWFileErrorMsg</w:t>
            </w:r>
            <w:proofErr w:type="spellEnd"/>
            <w:r>
              <w:t>, after the call to</w:t>
            </w:r>
            <w:r>
              <w:t xml:space="preserve"> </w:t>
            </w:r>
            <w:proofErr w:type="spellStart"/>
            <w:r w:rsidRPr="00141C1B">
              <w:t>GWFileProtect</w:t>
            </w:r>
            <w:proofErr w:type="spellEnd"/>
            <w:r>
              <w:t>.</w:t>
            </w:r>
          </w:p>
        </w:tc>
      </w:tr>
      <w:tr w:rsidR="00141C1B" w14:paraId="2FA0752E" w14:textId="77777777" w:rsidTr="005E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7660AAF" w14:textId="39BC3F1A" w:rsidR="00141C1B" w:rsidRDefault="00141C1B" w:rsidP="00593E47">
            <w:r>
              <w:t>Assessment Report</w:t>
            </w:r>
          </w:p>
        </w:tc>
        <w:tc>
          <w:tcPr>
            <w:tcW w:w="8164" w:type="dxa"/>
          </w:tcPr>
          <w:p w14:paraId="00B4B56B" w14:textId="530E9474" w:rsidR="00141C1B" w:rsidRPr="00141C1B" w:rsidRDefault="00141C1B" w:rsidP="00141C1B">
            <w:pPr>
              <w:cnfStyle w:val="000000100000" w:firstRow="0" w:lastRow="0" w:firstColumn="0" w:lastColumn="0" w:oddVBand="0" w:evenVBand="0" w:oddHBand="1" w:evenHBand="0" w:firstRowFirstColumn="0" w:firstRowLastColumn="0" w:lastRowFirstColumn="0" w:lastRowLastColumn="0"/>
            </w:pPr>
            <w:r>
              <w:t xml:space="preserve">Report summarising the checks that have been carried out. </w:t>
            </w:r>
            <w:r>
              <w:rPr>
                <w:b/>
              </w:rPr>
              <w:t>OK</w:t>
            </w:r>
            <w:r w:rsidR="00421D88">
              <w:t xml:space="preserve"> if all checks are consistent, a list of inconsistencies otherwise.</w:t>
            </w:r>
          </w:p>
        </w:tc>
      </w:tr>
    </w:tbl>
    <w:p w14:paraId="110343CB" w14:textId="77777777" w:rsidR="005E1E4E" w:rsidRDefault="005E1E4E" w:rsidP="00593E47"/>
    <w:p w14:paraId="7A1787CF" w14:textId="73C1FE1E" w:rsidR="00141C1B" w:rsidRDefault="00141C1B" w:rsidP="00141C1B">
      <w:pPr>
        <w:pStyle w:val="Heading2"/>
      </w:pPr>
      <w:r>
        <w:t>Consistency</w:t>
      </w:r>
    </w:p>
    <w:p w14:paraId="65D8DFDB" w14:textId="1A163330" w:rsidR="006A6A15" w:rsidRDefault="006A6A15" w:rsidP="006A6A15">
      <w:r>
        <w:t xml:space="preserve">The Analysis Assessment and Protect Assessment columns will display </w:t>
      </w:r>
      <w:r>
        <w:rPr>
          <w:b/>
        </w:rPr>
        <w:t>Consistent</w:t>
      </w:r>
      <w:r>
        <w:t xml:space="preserve"> if the </w:t>
      </w:r>
      <w:proofErr w:type="spellStart"/>
      <w:r w:rsidRPr="006A6A15">
        <w:rPr>
          <w:b/>
        </w:rPr>
        <w:t>GwStatus</w:t>
      </w:r>
      <w:proofErr w:type="spellEnd"/>
      <w:r>
        <w:t xml:space="preserve"> and </w:t>
      </w:r>
      <w:r>
        <w:rPr>
          <w:b/>
        </w:rPr>
        <w:t>Process Status</w:t>
      </w:r>
      <w:r>
        <w:t xml:space="preserve"> column entries are consistent with the Analysis Report entries (</w:t>
      </w:r>
      <w:r>
        <w:rPr>
          <w:b/>
        </w:rPr>
        <w:t xml:space="preserve">Issues, Remedies </w:t>
      </w:r>
      <w:r w:rsidRPr="00141C1B">
        <w:t>and</w:t>
      </w:r>
      <w:r>
        <w:rPr>
          <w:b/>
        </w:rPr>
        <w:t xml:space="preserve"> Sanitisations</w:t>
      </w:r>
      <w:r w:rsidRPr="006A6A15">
        <w:t>)</w:t>
      </w:r>
      <w:r>
        <w:t>. This can be summarised as.</w:t>
      </w:r>
    </w:p>
    <w:p w14:paraId="5FCEC2DB" w14:textId="5A0FBC94" w:rsidR="006A6A15" w:rsidRDefault="006A6A15" w:rsidP="006A6A15">
      <w:pPr>
        <w:pStyle w:val="ListParagraph"/>
        <w:numPr>
          <w:ilvl w:val="0"/>
          <w:numId w:val="3"/>
        </w:numPr>
      </w:pPr>
      <w:r>
        <w:t>Managed documents should not have any Issue Items.</w:t>
      </w:r>
    </w:p>
    <w:p w14:paraId="724B9E95" w14:textId="568CB1B3" w:rsidR="006A6A15" w:rsidRDefault="006A6A15" w:rsidP="006A6A15">
      <w:pPr>
        <w:pStyle w:val="ListParagraph"/>
        <w:numPr>
          <w:ilvl w:val="0"/>
          <w:numId w:val="3"/>
        </w:numPr>
      </w:pPr>
      <w:r>
        <w:t>The bits of the Process Status bitmap should be set appropriately, according to the Analysis Report entries.</w:t>
      </w:r>
    </w:p>
    <w:p w14:paraId="0B41365A" w14:textId="6E89FBF6" w:rsidR="006A6A15" w:rsidRDefault="006A6A15" w:rsidP="006A6A15">
      <w:r>
        <w:t xml:space="preserve">The structure and values of the Process Status bitmap and </w:t>
      </w:r>
      <w:proofErr w:type="spellStart"/>
      <w:r>
        <w:t>GwStatus</w:t>
      </w:r>
      <w:proofErr w:type="spellEnd"/>
      <w:r>
        <w:t xml:space="preserve"> can be found in the Glasswall SDK </w:t>
      </w:r>
      <w:proofErr w:type="spellStart"/>
      <w:r>
        <w:t>Helpfile</w:t>
      </w:r>
      <w:proofErr w:type="spellEnd"/>
      <w:r>
        <w:t>.</w:t>
      </w:r>
    </w:p>
    <w:p w14:paraId="695C9595" w14:textId="24C29591" w:rsidR="00F4680D" w:rsidRPr="00F4680D" w:rsidRDefault="00F4680D" w:rsidP="006A6A15">
      <w:r>
        <w:t xml:space="preserve">Any inconsistencies that are identified between the two processing modes (Analysis and Protect) will only be reported in the </w:t>
      </w:r>
      <w:r>
        <w:rPr>
          <w:b/>
        </w:rPr>
        <w:t>Assessment Report</w:t>
      </w:r>
      <w:r w:rsidR="002A55F0">
        <w:t xml:space="preserve"> column</w:t>
      </w:r>
      <w:r>
        <w:t>.</w:t>
      </w:r>
    </w:p>
    <w:p w14:paraId="57B85E9B" w14:textId="23BF4A53" w:rsidR="00A15C8B" w:rsidRDefault="00990B9E" w:rsidP="00A15C8B">
      <w:pPr>
        <w:pStyle w:val="Heading1"/>
      </w:pPr>
      <w:r>
        <w:lastRenderedPageBreak/>
        <w:t>Results</w:t>
      </w:r>
      <w:r w:rsidR="00A15C8B">
        <w:t xml:space="preserve"> File Format</w:t>
      </w:r>
    </w:p>
    <w:p w14:paraId="57B85EA1" w14:textId="29162024" w:rsidR="008A6705" w:rsidRDefault="00990B9E" w:rsidP="008A6705">
      <w:pPr>
        <w:pStyle w:val="Heading2"/>
      </w:pPr>
      <w:r>
        <w:t>Header</w:t>
      </w:r>
    </w:p>
    <w:p w14:paraId="50DBC85D" w14:textId="33C0EFD2" w:rsidR="00990B9E" w:rsidRDefault="00990B9E" w:rsidP="00990B9E">
      <w:r>
        <w:t xml:space="preserve">The Header of the results file contains </w:t>
      </w:r>
    </w:p>
    <w:p w14:paraId="0BBD0BF5" w14:textId="6C486E34" w:rsidR="00990B9E" w:rsidRDefault="00990B9E" w:rsidP="00990B9E">
      <w:pPr>
        <w:pStyle w:val="ListParagraph"/>
        <w:numPr>
          <w:ilvl w:val="0"/>
          <w:numId w:val="3"/>
        </w:numPr>
      </w:pPr>
      <w:r>
        <w:t>The version of the test tool</w:t>
      </w:r>
    </w:p>
    <w:p w14:paraId="1D449D04" w14:textId="3937986F" w:rsidR="00990B9E" w:rsidRDefault="00990B9E" w:rsidP="00990B9E">
      <w:pPr>
        <w:pStyle w:val="ListParagraph"/>
        <w:numPr>
          <w:ilvl w:val="0"/>
          <w:numId w:val="3"/>
        </w:numPr>
      </w:pPr>
      <w:r>
        <w:t>The version of the Glasswall DLL used to process the files</w:t>
      </w:r>
    </w:p>
    <w:p w14:paraId="66D29F56" w14:textId="6583BF8B" w:rsidR="00990B9E" w:rsidRDefault="00990B9E" w:rsidP="00990B9E">
      <w:pPr>
        <w:pStyle w:val="ListParagraph"/>
        <w:numPr>
          <w:ilvl w:val="0"/>
          <w:numId w:val="3"/>
        </w:numPr>
      </w:pPr>
      <w:r>
        <w:t xml:space="preserve">The name of the </w:t>
      </w:r>
      <w:r w:rsidR="00421D88">
        <w:t>pre-set</w:t>
      </w:r>
      <w:r>
        <w:t xml:space="preserve"> used during processing</w:t>
      </w:r>
    </w:p>
    <w:p w14:paraId="64E5E50A" w14:textId="5E6AB223" w:rsidR="00990B9E" w:rsidRPr="00990B9E" w:rsidRDefault="00990B9E" w:rsidP="00990B9E">
      <w:pPr>
        <w:pStyle w:val="ListParagraph"/>
        <w:numPr>
          <w:ilvl w:val="0"/>
          <w:numId w:val="3"/>
        </w:numPr>
      </w:pPr>
      <w:r>
        <w:t>A summary of the test results</w:t>
      </w:r>
    </w:p>
    <w:p w14:paraId="57B85EA8" w14:textId="77777777" w:rsidR="003F34B0" w:rsidRDefault="003F34B0" w:rsidP="003F34B0">
      <w:r>
        <w:t>Example</w:t>
      </w:r>
    </w:p>
    <w:p w14:paraId="12AE1D42" w14:textId="77777777" w:rsidR="00990B9E" w:rsidRPr="00990B9E" w:rsidRDefault="00990B9E" w:rsidP="00990B9E">
      <w:pPr>
        <w:pStyle w:val="Heading3"/>
        <w:rPr>
          <w:rFonts w:ascii="Courier New" w:eastAsiaTheme="minorHAnsi" w:hAnsi="Courier New" w:cs="Courier New"/>
          <w:b w:val="0"/>
          <w:bCs w:val="0"/>
          <w:color w:val="auto"/>
          <w:sz w:val="16"/>
          <w:szCs w:val="18"/>
        </w:rPr>
      </w:pPr>
      <w:r w:rsidRPr="00990B9E">
        <w:rPr>
          <w:rFonts w:ascii="Courier New" w:eastAsiaTheme="minorHAnsi" w:hAnsi="Courier New" w:cs="Courier New"/>
          <w:b w:val="0"/>
          <w:bCs w:val="0"/>
          <w:color w:val="auto"/>
          <w:sz w:val="16"/>
          <w:szCs w:val="18"/>
        </w:rPr>
        <w:t>Test Tool version 1.0.5589.27182</w:t>
      </w:r>
    </w:p>
    <w:p w14:paraId="3CA52F10" w14:textId="77777777" w:rsidR="00990B9E" w:rsidRPr="00990B9E" w:rsidRDefault="00990B9E" w:rsidP="00990B9E">
      <w:pPr>
        <w:pStyle w:val="Heading3"/>
        <w:rPr>
          <w:rFonts w:ascii="Courier New" w:eastAsiaTheme="minorHAnsi" w:hAnsi="Courier New" w:cs="Courier New"/>
          <w:b w:val="0"/>
          <w:bCs w:val="0"/>
          <w:color w:val="auto"/>
          <w:sz w:val="16"/>
          <w:szCs w:val="18"/>
        </w:rPr>
      </w:pPr>
      <w:r w:rsidRPr="00990B9E">
        <w:rPr>
          <w:rFonts w:ascii="Courier New" w:eastAsiaTheme="minorHAnsi" w:hAnsi="Courier New" w:cs="Courier New"/>
          <w:b w:val="0"/>
          <w:bCs w:val="0"/>
          <w:color w:val="auto"/>
          <w:sz w:val="16"/>
          <w:szCs w:val="18"/>
        </w:rPr>
        <w:t xml:space="preserve">Using library version </w:t>
      </w:r>
      <w:proofErr w:type="spellStart"/>
      <w:r w:rsidRPr="00990B9E">
        <w:rPr>
          <w:rFonts w:ascii="Courier New" w:eastAsiaTheme="minorHAnsi" w:hAnsi="Courier New" w:cs="Courier New"/>
          <w:b w:val="0"/>
          <w:bCs w:val="0"/>
          <w:color w:val="auto"/>
          <w:sz w:val="16"/>
          <w:szCs w:val="18"/>
        </w:rPr>
        <w:t>GLASSWALL_DLL</w:t>
      </w:r>
      <w:proofErr w:type="gramStart"/>
      <w:r w:rsidRPr="00990B9E">
        <w:rPr>
          <w:rFonts w:ascii="Courier New" w:eastAsiaTheme="minorHAnsi" w:hAnsi="Courier New" w:cs="Courier New"/>
          <w:b w:val="0"/>
          <w:bCs w:val="0"/>
          <w:color w:val="auto"/>
          <w:sz w:val="16"/>
          <w:szCs w:val="18"/>
        </w:rPr>
        <w:t>:Analyse</w:t>
      </w:r>
      <w:proofErr w:type="spellEnd"/>
      <w:proofErr w:type="gramEnd"/>
      <w:r w:rsidRPr="00990B9E">
        <w:rPr>
          <w:rFonts w:ascii="Courier New" w:eastAsiaTheme="minorHAnsi" w:hAnsi="Courier New" w:cs="Courier New"/>
          <w:b w:val="0"/>
          <w:bCs w:val="0"/>
          <w:color w:val="auto"/>
          <w:sz w:val="16"/>
          <w:szCs w:val="18"/>
        </w:rPr>
        <w:t>, Manage &amp; Protect.1.3.15106.1.BUILD(Apr 16 2015  18:06:05)</w:t>
      </w:r>
    </w:p>
    <w:p w14:paraId="280B5A99" w14:textId="77777777" w:rsidR="00990B9E" w:rsidRPr="00990B9E" w:rsidRDefault="00990B9E" w:rsidP="00990B9E">
      <w:pPr>
        <w:pStyle w:val="Heading3"/>
        <w:rPr>
          <w:rFonts w:ascii="Courier New" w:eastAsiaTheme="minorHAnsi" w:hAnsi="Courier New" w:cs="Courier New"/>
          <w:b w:val="0"/>
          <w:bCs w:val="0"/>
          <w:color w:val="auto"/>
          <w:sz w:val="16"/>
          <w:szCs w:val="18"/>
        </w:rPr>
      </w:pPr>
      <w:r w:rsidRPr="00990B9E">
        <w:rPr>
          <w:rFonts w:ascii="Courier New" w:eastAsiaTheme="minorHAnsi" w:hAnsi="Courier New" w:cs="Courier New"/>
          <w:b w:val="0"/>
          <w:bCs w:val="0"/>
          <w:color w:val="auto"/>
          <w:sz w:val="16"/>
          <w:szCs w:val="18"/>
        </w:rPr>
        <w:t xml:space="preserve">Library Content Management </w:t>
      </w:r>
      <w:proofErr w:type="spellStart"/>
      <w:proofErr w:type="gramStart"/>
      <w:r w:rsidRPr="00990B9E">
        <w:rPr>
          <w:rFonts w:ascii="Courier New" w:eastAsiaTheme="minorHAnsi" w:hAnsi="Courier New" w:cs="Courier New"/>
          <w:b w:val="0"/>
          <w:bCs w:val="0"/>
          <w:color w:val="auto"/>
          <w:sz w:val="16"/>
          <w:szCs w:val="18"/>
        </w:rPr>
        <w:t>Preset</w:t>
      </w:r>
      <w:proofErr w:type="spellEnd"/>
      <w:r w:rsidRPr="00990B9E">
        <w:rPr>
          <w:rFonts w:ascii="Courier New" w:eastAsiaTheme="minorHAnsi" w:hAnsi="Courier New" w:cs="Courier New"/>
          <w:b w:val="0"/>
          <w:bCs w:val="0"/>
          <w:color w:val="auto"/>
          <w:sz w:val="16"/>
          <w:szCs w:val="18"/>
        </w:rPr>
        <w:t xml:space="preserve"> :</w:t>
      </w:r>
      <w:proofErr w:type="gramEnd"/>
      <w:r w:rsidRPr="00990B9E">
        <w:rPr>
          <w:rFonts w:ascii="Courier New" w:eastAsiaTheme="minorHAnsi" w:hAnsi="Courier New" w:cs="Courier New"/>
          <w:b w:val="0"/>
          <w:bCs w:val="0"/>
          <w:color w:val="auto"/>
          <w:sz w:val="16"/>
          <w:szCs w:val="18"/>
        </w:rPr>
        <w:t xml:space="preserve"> Sanitise</w:t>
      </w:r>
    </w:p>
    <w:p w14:paraId="4836865B" w14:textId="77777777" w:rsidR="00990B9E" w:rsidRDefault="00990B9E" w:rsidP="00990B9E">
      <w:pPr>
        <w:pStyle w:val="Heading3"/>
        <w:rPr>
          <w:rFonts w:ascii="Courier New" w:eastAsiaTheme="minorHAnsi" w:hAnsi="Courier New" w:cs="Courier New"/>
          <w:b w:val="0"/>
          <w:bCs w:val="0"/>
          <w:color w:val="auto"/>
          <w:sz w:val="16"/>
          <w:szCs w:val="18"/>
        </w:rPr>
      </w:pPr>
      <w:r w:rsidRPr="00990B9E">
        <w:rPr>
          <w:rFonts w:ascii="Courier New" w:eastAsiaTheme="minorHAnsi" w:hAnsi="Courier New" w:cs="Courier New"/>
          <w:b w:val="0"/>
          <w:bCs w:val="0"/>
          <w:color w:val="auto"/>
          <w:sz w:val="16"/>
          <w:szCs w:val="18"/>
        </w:rPr>
        <w:t>Consistent Reports 10/11 90.91 %</w:t>
      </w:r>
      <w:r w:rsidRPr="00990B9E">
        <w:rPr>
          <w:rFonts w:ascii="Courier New" w:eastAsiaTheme="minorHAnsi" w:hAnsi="Courier New" w:cs="Courier New"/>
          <w:b w:val="0"/>
          <w:bCs w:val="0"/>
          <w:color w:val="auto"/>
          <w:sz w:val="16"/>
          <w:szCs w:val="18"/>
        </w:rPr>
        <w:t xml:space="preserve"> </w:t>
      </w:r>
    </w:p>
    <w:p w14:paraId="661C51B3" w14:textId="62BFC267" w:rsidR="00D46111" w:rsidRDefault="00F4680D" w:rsidP="00F4680D">
      <w:pPr>
        <w:pStyle w:val="Heading2"/>
      </w:pPr>
      <w:r>
        <w:t>Body</w:t>
      </w:r>
    </w:p>
    <w:p w14:paraId="6818C82D" w14:textId="7E87D481" w:rsidR="00F4680D" w:rsidRDefault="00F4680D" w:rsidP="00F4680D">
      <w:r>
        <w:t xml:space="preserve">The body of the report is made up of the test results of those files that processed and their results found to be inconsistent.  The information provided is the same as displayed on the UI, with each column separated </w:t>
      </w:r>
      <w:r w:rsidR="00421D88">
        <w:t>by tab</w:t>
      </w:r>
      <w:r>
        <w:t xml:space="preserve"> (\t) character. </w:t>
      </w:r>
    </w:p>
    <w:p w14:paraId="32E07A41" w14:textId="4179FF0C" w:rsidR="00F4680D" w:rsidRDefault="00F4680D" w:rsidP="00F4680D">
      <w:r>
        <w:t>The first line of the body is a header line with the column names. The results for each inconsistent file are then displayed on subsequent lines</w:t>
      </w:r>
      <w:r w:rsidR="00421D88">
        <w:t>.</w:t>
      </w:r>
    </w:p>
    <w:p w14:paraId="4BA62F86" w14:textId="17AE0892" w:rsidR="00421D88" w:rsidRDefault="00421D88" w:rsidP="00F4680D">
      <w:r>
        <w:t xml:space="preserve">The formatting of the results file is such that it can be imported into a </w:t>
      </w:r>
      <w:proofErr w:type="spellStart"/>
      <w:r>
        <w:t>spreadsheet</w:t>
      </w:r>
      <w:proofErr w:type="spellEnd"/>
      <w:r>
        <w:t>, using the tab at a delimiter.</w:t>
      </w:r>
    </w:p>
    <w:sectPr w:rsidR="00421D88" w:rsidSect="0026123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6ED8F" w14:textId="77777777" w:rsidR="0038013A" w:rsidRDefault="0038013A" w:rsidP="005360DD">
      <w:pPr>
        <w:spacing w:after="0" w:line="240" w:lineRule="auto"/>
      </w:pPr>
      <w:r>
        <w:separator/>
      </w:r>
    </w:p>
  </w:endnote>
  <w:endnote w:type="continuationSeparator" w:id="0">
    <w:p w14:paraId="3F110A99" w14:textId="77777777" w:rsidR="0038013A" w:rsidRDefault="0038013A" w:rsidP="0053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3138B" w14:textId="77777777" w:rsidR="0038013A" w:rsidRDefault="0038013A" w:rsidP="005360DD">
      <w:pPr>
        <w:spacing w:after="0" w:line="240" w:lineRule="auto"/>
      </w:pPr>
      <w:r>
        <w:separator/>
      </w:r>
    </w:p>
  </w:footnote>
  <w:footnote w:type="continuationSeparator" w:id="0">
    <w:p w14:paraId="02000FF1" w14:textId="77777777" w:rsidR="0038013A" w:rsidRDefault="0038013A" w:rsidP="00536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6714F"/>
    <w:multiLevelType w:val="hybridMultilevel"/>
    <w:tmpl w:val="886E6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BF08CF"/>
    <w:multiLevelType w:val="hybridMultilevel"/>
    <w:tmpl w:val="69FEC15E"/>
    <w:lvl w:ilvl="0" w:tplc="9F1EC5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F2710"/>
    <w:multiLevelType w:val="hybridMultilevel"/>
    <w:tmpl w:val="A84CD9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75"/>
    <w:rsid w:val="0004020A"/>
    <w:rsid w:val="000528D9"/>
    <w:rsid w:val="00141C1B"/>
    <w:rsid w:val="00145B3F"/>
    <w:rsid w:val="0014605F"/>
    <w:rsid w:val="00167B2F"/>
    <w:rsid w:val="00181B4F"/>
    <w:rsid w:val="0019128A"/>
    <w:rsid w:val="001C39C5"/>
    <w:rsid w:val="001D4E16"/>
    <w:rsid w:val="00236F5A"/>
    <w:rsid w:val="0026123E"/>
    <w:rsid w:val="002A55F0"/>
    <w:rsid w:val="002D0ECD"/>
    <w:rsid w:val="003023E3"/>
    <w:rsid w:val="00321CC0"/>
    <w:rsid w:val="003447B7"/>
    <w:rsid w:val="0038013A"/>
    <w:rsid w:val="00386DE5"/>
    <w:rsid w:val="003914CC"/>
    <w:rsid w:val="003B2EAA"/>
    <w:rsid w:val="003D44BD"/>
    <w:rsid w:val="003F34B0"/>
    <w:rsid w:val="00421D88"/>
    <w:rsid w:val="00466DF8"/>
    <w:rsid w:val="00470DC3"/>
    <w:rsid w:val="004B629B"/>
    <w:rsid w:val="004D73C9"/>
    <w:rsid w:val="00534DD3"/>
    <w:rsid w:val="005360DD"/>
    <w:rsid w:val="00553179"/>
    <w:rsid w:val="00580975"/>
    <w:rsid w:val="005871D3"/>
    <w:rsid w:val="00593E47"/>
    <w:rsid w:val="005E1E4E"/>
    <w:rsid w:val="005F248E"/>
    <w:rsid w:val="006074D3"/>
    <w:rsid w:val="00635B89"/>
    <w:rsid w:val="00643674"/>
    <w:rsid w:val="00657F42"/>
    <w:rsid w:val="00660F11"/>
    <w:rsid w:val="006633DF"/>
    <w:rsid w:val="0068330E"/>
    <w:rsid w:val="006A6A15"/>
    <w:rsid w:val="006D6584"/>
    <w:rsid w:val="006E6CE3"/>
    <w:rsid w:val="007A45A4"/>
    <w:rsid w:val="007B3A56"/>
    <w:rsid w:val="007C6617"/>
    <w:rsid w:val="008251C8"/>
    <w:rsid w:val="00826B60"/>
    <w:rsid w:val="008A6705"/>
    <w:rsid w:val="008C2B41"/>
    <w:rsid w:val="008E1116"/>
    <w:rsid w:val="008F43EC"/>
    <w:rsid w:val="009149B9"/>
    <w:rsid w:val="00943A78"/>
    <w:rsid w:val="0096551F"/>
    <w:rsid w:val="00970DD7"/>
    <w:rsid w:val="00990B9E"/>
    <w:rsid w:val="009A7CDC"/>
    <w:rsid w:val="009D5B7D"/>
    <w:rsid w:val="00A05473"/>
    <w:rsid w:val="00A15C8B"/>
    <w:rsid w:val="00A251B4"/>
    <w:rsid w:val="00A308AF"/>
    <w:rsid w:val="00A50D04"/>
    <w:rsid w:val="00A60EBD"/>
    <w:rsid w:val="00A64681"/>
    <w:rsid w:val="00A7203B"/>
    <w:rsid w:val="00AA6731"/>
    <w:rsid w:val="00AB66B2"/>
    <w:rsid w:val="00B31943"/>
    <w:rsid w:val="00B3669B"/>
    <w:rsid w:val="00B41964"/>
    <w:rsid w:val="00B5555E"/>
    <w:rsid w:val="00B92CBF"/>
    <w:rsid w:val="00BD2979"/>
    <w:rsid w:val="00C23EEE"/>
    <w:rsid w:val="00C307B1"/>
    <w:rsid w:val="00C50564"/>
    <w:rsid w:val="00CB1DA2"/>
    <w:rsid w:val="00D3168C"/>
    <w:rsid w:val="00D37C43"/>
    <w:rsid w:val="00D46111"/>
    <w:rsid w:val="00D605CF"/>
    <w:rsid w:val="00D92359"/>
    <w:rsid w:val="00DA030B"/>
    <w:rsid w:val="00DB7A40"/>
    <w:rsid w:val="00DE2534"/>
    <w:rsid w:val="00E1648C"/>
    <w:rsid w:val="00E512AF"/>
    <w:rsid w:val="00E541E9"/>
    <w:rsid w:val="00EA5409"/>
    <w:rsid w:val="00EA7C75"/>
    <w:rsid w:val="00EB3E73"/>
    <w:rsid w:val="00F14940"/>
    <w:rsid w:val="00F231FF"/>
    <w:rsid w:val="00F4680D"/>
    <w:rsid w:val="00F61F3F"/>
    <w:rsid w:val="00F661FA"/>
    <w:rsid w:val="00F77CB4"/>
    <w:rsid w:val="00FF7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4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7A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C7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A7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A7C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CB1D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C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34B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F34B0"/>
    <w:pPr>
      <w:ind w:left="720"/>
      <w:contextualSpacing/>
    </w:pPr>
  </w:style>
  <w:style w:type="character" w:customStyle="1" w:styleId="Heading4Char">
    <w:name w:val="Heading 4 Char"/>
    <w:basedOn w:val="DefaultParagraphFont"/>
    <w:link w:val="Heading4"/>
    <w:uiPriority w:val="9"/>
    <w:semiHidden/>
    <w:rsid w:val="00DB7A40"/>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D3168C"/>
    <w:rPr>
      <w:i/>
      <w:iCs/>
      <w:color w:val="000000" w:themeColor="text1"/>
    </w:rPr>
  </w:style>
  <w:style w:type="character" w:customStyle="1" w:styleId="QuoteChar">
    <w:name w:val="Quote Char"/>
    <w:basedOn w:val="DefaultParagraphFont"/>
    <w:link w:val="Quote"/>
    <w:uiPriority w:val="29"/>
    <w:rsid w:val="00D3168C"/>
    <w:rPr>
      <w:i/>
      <w:iCs/>
      <w:color w:val="000000" w:themeColor="text1"/>
    </w:rPr>
  </w:style>
  <w:style w:type="paragraph" w:styleId="Header">
    <w:name w:val="header"/>
    <w:basedOn w:val="Normal"/>
    <w:link w:val="HeaderChar"/>
    <w:uiPriority w:val="99"/>
    <w:unhideWhenUsed/>
    <w:rsid w:val="00536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0DD"/>
  </w:style>
  <w:style w:type="paragraph" w:styleId="Footer">
    <w:name w:val="footer"/>
    <w:basedOn w:val="Normal"/>
    <w:link w:val="FooterChar"/>
    <w:uiPriority w:val="99"/>
    <w:unhideWhenUsed/>
    <w:rsid w:val="00536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0DD"/>
  </w:style>
  <w:style w:type="paragraph" w:styleId="FootnoteText">
    <w:name w:val="footnote text"/>
    <w:basedOn w:val="Normal"/>
    <w:link w:val="FootnoteTextChar"/>
    <w:uiPriority w:val="99"/>
    <w:semiHidden/>
    <w:unhideWhenUsed/>
    <w:rsid w:val="006633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33DF"/>
    <w:rPr>
      <w:sz w:val="20"/>
      <w:szCs w:val="20"/>
    </w:rPr>
  </w:style>
  <w:style w:type="character" w:styleId="FootnoteReference">
    <w:name w:val="footnote reference"/>
    <w:basedOn w:val="DefaultParagraphFont"/>
    <w:uiPriority w:val="99"/>
    <w:unhideWhenUsed/>
    <w:rsid w:val="006633DF"/>
    <w:rPr>
      <w:vertAlign w:val="superscript"/>
    </w:rPr>
  </w:style>
  <w:style w:type="paragraph" w:styleId="BalloonText">
    <w:name w:val="Balloon Text"/>
    <w:basedOn w:val="Normal"/>
    <w:link w:val="BalloonTextChar"/>
    <w:uiPriority w:val="99"/>
    <w:semiHidden/>
    <w:unhideWhenUsed/>
    <w:rsid w:val="0066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4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7A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C7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A7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A7C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CB1D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C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34B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F34B0"/>
    <w:pPr>
      <w:ind w:left="720"/>
      <w:contextualSpacing/>
    </w:pPr>
  </w:style>
  <w:style w:type="character" w:customStyle="1" w:styleId="Heading4Char">
    <w:name w:val="Heading 4 Char"/>
    <w:basedOn w:val="DefaultParagraphFont"/>
    <w:link w:val="Heading4"/>
    <w:uiPriority w:val="9"/>
    <w:semiHidden/>
    <w:rsid w:val="00DB7A40"/>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D3168C"/>
    <w:rPr>
      <w:i/>
      <w:iCs/>
      <w:color w:val="000000" w:themeColor="text1"/>
    </w:rPr>
  </w:style>
  <w:style w:type="character" w:customStyle="1" w:styleId="QuoteChar">
    <w:name w:val="Quote Char"/>
    <w:basedOn w:val="DefaultParagraphFont"/>
    <w:link w:val="Quote"/>
    <w:uiPriority w:val="29"/>
    <w:rsid w:val="00D3168C"/>
    <w:rPr>
      <w:i/>
      <w:iCs/>
      <w:color w:val="000000" w:themeColor="text1"/>
    </w:rPr>
  </w:style>
  <w:style w:type="paragraph" w:styleId="Header">
    <w:name w:val="header"/>
    <w:basedOn w:val="Normal"/>
    <w:link w:val="HeaderChar"/>
    <w:uiPriority w:val="99"/>
    <w:unhideWhenUsed/>
    <w:rsid w:val="00536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0DD"/>
  </w:style>
  <w:style w:type="paragraph" w:styleId="Footer">
    <w:name w:val="footer"/>
    <w:basedOn w:val="Normal"/>
    <w:link w:val="FooterChar"/>
    <w:uiPriority w:val="99"/>
    <w:unhideWhenUsed/>
    <w:rsid w:val="00536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0DD"/>
  </w:style>
  <w:style w:type="paragraph" w:styleId="FootnoteText">
    <w:name w:val="footnote text"/>
    <w:basedOn w:val="Normal"/>
    <w:link w:val="FootnoteTextChar"/>
    <w:uiPriority w:val="99"/>
    <w:semiHidden/>
    <w:unhideWhenUsed/>
    <w:rsid w:val="006633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33DF"/>
    <w:rPr>
      <w:sz w:val="20"/>
      <w:szCs w:val="20"/>
    </w:rPr>
  </w:style>
  <w:style w:type="character" w:styleId="FootnoteReference">
    <w:name w:val="footnote reference"/>
    <w:basedOn w:val="DefaultParagraphFont"/>
    <w:uiPriority w:val="99"/>
    <w:unhideWhenUsed/>
    <w:rsid w:val="006633DF"/>
    <w:rPr>
      <w:vertAlign w:val="superscript"/>
    </w:rPr>
  </w:style>
  <w:style w:type="paragraph" w:styleId="BalloonText">
    <w:name w:val="Balloon Text"/>
    <w:basedOn w:val="Normal"/>
    <w:link w:val="BalloonTextChar"/>
    <w:uiPriority w:val="99"/>
    <w:semiHidden/>
    <w:unhideWhenUsed/>
    <w:rsid w:val="0066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0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BD51A04912BD4CAC53ECBF14CB3158" ma:contentTypeVersion="0" ma:contentTypeDescription="Create a new document." ma:contentTypeScope="" ma:versionID="ce536d191c1ce27eec3c51aadb84c2b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AC40B-DB46-465E-9707-67D337AE8259}">
  <ds:schemaRefs>
    <ds:schemaRef ds:uri="http://schemas.microsoft.com/sharepoint/v3/contenttype/forms"/>
  </ds:schemaRefs>
</ds:datastoreItem>
</file>

<file path=customXml/itemProps2.xml><?xml version="1.0" encoding="utf-8"?>
<ds:datastoreItem xmlns:ds="http://schemas.openxmlformats.org/officeDocument/2006/customXml" ds:itemID="{59D5A744-1E39-467C-925A-C5259D1E4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3F8CCDA-0D74-4AFC-8B01-23F13FC3A19D}">
  <ds:schemaRefs>
    <ds:schemaRef ds:uri="http://schemas.microsoft.com/office/2006/metadata/properties"/>
  </ds:schemaRefs>
</ds:datastoreItem>
</file>

<file path=customXml/itemProps4.xml><?xml version="1.0" encoding="utf-8"?>
<ds:datastoreItem xmlns:ds="http://schemas.openxmlformats.org/officeDocument/2006/customXml" ds:itemID="{871B77A5-DC6E-4CE7-9154-3A24D196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User Manual for the test tool</vt:lpstr>
    </vt:vector>
  </TitlesOfParts>
  <Company>Glasswall Solutions Limited</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the test tool</dc:title>
  <dc:creator>PaulGerard@glasswall.dev</dc:creator>
  <cp:lastModifiedBy>Paul Gerard</cp:lastModifiedBy>
  <cp:revision>43</cp:revision>
  <dcterms:created xsi:type="dcterms:W3CDTF">2013-09-30T10:07:00Z</dcterms:created>
  <dcterms:modified xsi:type="dcterms:W3CDTF">2015-04-21T16:19:00Z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0x01010059BD51A04912BD4CAC53ECBF14CB3158</vt:lpwstr>
  </property>
</Properties>
</file>