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rPr>
          <w:rFonts w:ascii="Avenir Next Regular" w:cs="Avenir Next Regular" w:hAnsi="Avenir Next Regular" w:eastAsia="Avenir Next Regular"/>
        </w:rPr>
      </w:pPr>
      <w:bookmarkStart w:name="Xbb32345e4460f8605f0d9a2fb478c39fe1227f8" w:id="0"/>
      <w:r>
        <w:rPr>
          <w:rFonts w:ascii="Avenir Next Regular" w:hAnsi="Avenir Next Regular"/>
          <w:b w:val="1"/>
          <w:bCs w:val="1"/>
          <w:rtl w:val="0"/>
          <w:lang w:val="en-US"/>
        </w:rPr>
        <w:t xml:space="preserve">Submission Regarding </w:t>
      </w:r>
      <w:bookmarkEnd w:id="0"/>
      <w:r>
        <w:rPr>
          <w:rFonts w:ascii="Avenir Next Regular" w:hAnsi="Avenir Next Regular"/>
          <w:b w:val="1"/>
          <w:bCs w:val="1"/>
          <w:rtl w:val="0"/>
          <w:lang w:val="en-US"/>
        </w:rPr>
        <w:t>Special Council Meeting 8 am 10 June 2026</w:t>
      </w:r>
      <w:r>
        <w:rPr>
          <w:rFonts w:ascii="Avenir Next Regular" w:cs="Avenir Next Regular" w:hAnsi="Avenir Next Regular" w:eastAsia="Avenir Next Regular"/>
          <w:b w:val="1"/>
          <w:bCs w:val="1"/>
          <w:lang w:val="fr-FR"/>
        </w:rPr>
        <w:br w:type="textWrapping"/>
      </w:r>
      <w:bookmarkStart w:name="X427dfce8b659ee14cb2559997a248c164404a1c" w:id="1"/>
      <w:r>
        <w:rPr>
          <w:rFonts w:ascii="Avenir Next Regular" w:hAnsi="Avenir Next Regular"/>
          <w:b w:val="1"/>
          <w:bCs w:val="1"/>
          <w:rtl w:val="0"/>
          <w:lang w:val="en-US"/>
        </w:rPr>
        <w:t xml:space="preserve">Item 5.1.2 Consider the </w:t>
      </w:r>
      <w:r>
        <w:rPr>
          <w:rFonts w:ascii="Avenir Next Regular" w:hAnsi="Avenir Next Regular" w:hint="default"/>
          <w:b w:val="1"/>
          <w:bCs w:val="1"/>
          <w:rtl w:val="1"/>
        </w:rPr>
        <w:t>‘</w:t>
      </w:r>
      <w:r>
        <w:rPr>
          <w:rFonts w:ascii="Avenir Next Regular" w:hAnsi="Avenir Next Regular"/>
          <w:b w:val="1"/>
          <w:bCs w:val="1"/>
          <w:rtl w:val="0"/>
        </w:rPr>
        <w:t>sale</w:t>
      </w:r>
      <w:r>
        <w:rPr>
          <w:rFonts w:ascii="Avenir Next Regular" w:hAnsi="Avenir Next Regular" w:hint="default"/>
          <w:b w:val="1"/>
          <w:bCs w:val="1"/>
          <w:rtl w:val="1"/>
        </w:rPr>
        <w:t xml:space="preserve">’ </w:t>
      </w:r>
      <w:r>
        <w:rPr>
          <w:rFonts w:ascii="Avenir Next Regular" w:hAnsi="Avenir Next Regular"/>
          <w:b w:val="1"/>
          <w:bCs w:val="1"/>
          <w:rtl w:val="0"/>
          <w:lang w:val="en-US"/>
        </w:rPr>
        <w:t>of the Medical Centre</w:t>
      </w:r>
      <w:bookmarkEnd w:id="1"/>
      <w:r>
        <w:rPr>
          <w:rFonts w:ascii="Avenir Next Regular" w:cs="Avenir Next Regular" w:hAnsi="Avenir Next Regular" w:eastAsia="Avenir Next Regular"/>
        </w:rPr>
        <w:br w:type="textWrapping"/>
      </w:r>
    </w:p>
    <w:p>
      <w:pPr>
        <w:pStyle w:val="First Paragraph"/>
        <w:rPr>
          <w:rFonts w:ascii="Avenir Next Regular" w:cs="Avenir Next Regular" w:hAnsi="Avenir Next Regular" w:eastAsia="Avenir Next Regular"/>
        </w:rPr>
      </w:pPr>
      <w:r>
        <w:rPr>
          <w:rFonts w:ascii="Avenir Next Regular" w:hAnsi="Avenir Next Regular"/>
          <w:rtl w:val="0"/>
          <w:lang w:val="en-US"/>
        </w:rPr>
        <w:t>I respectfully submit that Council should not support the recommendation in its current form because the information presented is insufficient to justify an in-principle decision regarding the future ownership and operation of the Boyup Brook Medical Centre.</w:t>
      </w:r>
    </w:p>
    <w:p>
      <w:pPr>
        <w:pStyle w:val="Heading 3"/>
        <w:rPr>
          <w:rFonts w:ascii="Avenir Next Regular" w:cs="Avenir Next Regular" w:hAnsi="Avenir Next Regular" w:eastAsia="Avenir Next Regular"/>
          <w:b w:val="1"/>
          <w:bCs w:val="1"/>
        </w:rPr>
      </w:pPr>
      <w:bookmarkStart w:name="insufficientfinancialinformation" w:id="2"/>
      <w:r>
        <w:rPr>
          <w:rFonts w:ascii="Avenir Next Regular" w:hAnsi="Avenir Next Regular"/>
          <w:b w:val="1"/>
          <w:bCs w:val="1"/>
          <w:rtl w:val="0"/>
          <w:lang w:val="en-US"/>
        </w:rPr>
        <w:t>1. Insufficient Financial Information</w:t>
      </w:r>
    </w:p>
    <w:p>
      <w:pPr>
        <w:pStyle w:val="First Paragraph"/>
        <w:rPr>
          <w:rFonts w:ascii="Avenir Next Regular" w:cs="Avenir Next Regular" w:hAnsi="Avenir Next Regular" w:eastAsia="Avenir Next Regular"/>
        </w:rPr>
      </w:pPr>
      <w:r>
        <w:rPr>
          <w:rFonts w:ascii="Avenir Next Regular" w:hAnsi="Avenir Next Regular"/>
          <w:rtl w:val="0"/>
          <w:lang w:val="en-US"/>
        </w:rPr>
        <w:t>The principal justification advanced in the report appears to be that the Medical Centre costs ratepayers approximately $150,000 per annum.</w:t>
      </w:r>
    </w:p>
    <w:p>
      <w:pPr>
        <w:pStyle w:val="Body Text"/>
        <w:rPr>
          <w:rFonts w:ascii="Avenir Next Regular" w:cs="Avenir Next Regular" w:hAnsi="Avenir Next Regular" w:eastAsia="Avenir Next Regular"/>
        </w:rPr>
      </w:pPr>
      <w:r>
        <w:rPr>
          <w:rFonts w:ascii="Avenir Next Regular" w:hAnsi="Avenir Next Regular"/>
          <w:rtl w:val="0"/>
          <w:lang w:val="en-US"/>
        </w:rPr>
        <w:t>However, the financial information presented does not enable Councillors or the community to properly assess that claim.</w:t>
      </w:r>
    </w:p>
    <w:p>
      <w:pPr>
        <w:pStyle w:val="Body Text"/>
        <w:rPr>
          <w:rFonts w:ascii="Avenir Next Regular" w:cs="Avenir Next Regular" w:hAnsi="Avenir Next Regular" w:eastAsia="Avenir Next Regular"/>
        </w:rPr>
      </w:pPr>
      <w:r>
        <w:rPr>
          <w:rFonts w:ascii="Avenir Next Regular" w:hAnsi="Avenir Next Regular"/>
          <w:rtl w:val="0"/>
          <w:lang w:val="en-US"/>
        </w:rPr>
        <w:t>Council</w:t>
      </w:r>
      <w:r>
        <w:rPr>
          <w:rFonts w:ascii="Avenir Next Regular" w:hAnsi="Avenir Next Regular" w:hint="default"/>
          <w:rtl w:val="0"/>
          <w:lang w:val="en-US"/>
        </w:rPr>
        <w:t>’</w:t>
      </w:r>
      <w:r>
        <w:rPr>
          <w:rFonts w:ascii="Avenir Next Regular" w:hAnsi="Avenir Next Regular"/>
          <w:rtl w:val="0"/>
          <w:lang w:val="en-US"/>
        </w:rPr>
        <w:t>s own budget and financial reporting demonstrate that the Medical Centre generates substantial annual revenue through surgery turnover and associated income streams. The financial reports also include administrative allocations, depreciation and other accounting treatments which may not represent direct cash expenditure.</w:t>
      </w:r>
    </w:p>
    <w:p>
      <w:pPr>
        <w:pStyle w:val="Body Text"/>
        <w:rPr>
          <w:rFonts w:ascii="Avenir Next Regular" w:cs="Avenir Next Regular" w:hAnsi="Avenir Next Regular" w:eastAsia="Avenir Next Regular"/>
        </w:rPr>
      </w:pPr>
      <w:r>
        <w:rPr>
          <w:rFonts w:ascii="Avenir Next Regular" w:hAnsi="Avenir Next Regular"/>
          <w:rtl w:val="0"/>
          <w:lang w:val="en-US"/>
        </w:rPr>
        <w:t>Without a detailed reconciliation of the reported figure, it is not possible to determine:</w:t>
      </w:r>
    </w:p>
    <w:p>
      <w:pPr>
        <w:pStyle w:val="Compact"/>
        <w:numPr>
          <w:ilvl w:val="0"/>
          <w:numId w:val="2"/>
        </w:numPr>
        <w:rPr>
          <w:rFonts w:ascii="Avenir Next Regular" w:hAnsi="Avenir Next Regular"/>
          <w:lang w:val="en-US"/>
        </w:rPr>
      </w:pPr>
      <w:r>
        <w:rPr>
          <w:rFonts w:ascii="Avenir Next Regular" w:hAnsi="Avenir Next Regular"/>
          <w:rtl w:val="0"/>
          <w:lang w:val="en-US"/>
        </w:rPr>
        <w:t>the actual annual cash subsidy provided by ratepayers;</w:t>
      </w:r>
    </w:p>
    <w:p>
      <w:pPr>
        <w:pStyle w:val="Compact"/>
        <w:numPr>
          <w:ilvl w:val="0"/>
          <w:numId w:val="2"/>
        </w:numPr>
        <w:rPr>
          <w:rFonts w:ascii="Avenir Next Regular" w:hAnsi="Avenir Next Regular"/>
          <w:lang w:val="en-US"/>
        </w:rPr>
      </w:pPr>
      <w:r>
        <w:rPr>
          <w:rFonts w:ascii="Avenir Next Regular" w:hAnsi="Avenir Next Regular"/>
          <w:rtl w:val="0"/>
          <w:lang w:val="en-US"/>
        </w:rPr>
        <w:t>the extent to which depreciation contributes to the reported result;</w:t>
      </w:r>
    </w:p>
    <w:p>
      <w:pPr>
        <w:pStyle w:val="Compact"/>
        <w:numPr>
          <w:ilvl w:val="0"/>
          <w:numId w:val="2"/>
        </w:numPr>
        <w:rPr>
          <w:rFonts w:ascii="Avenir Next Regular" w:hAnsi="Avenir Next Regular"/>
          <w:lang w:val="en-US"/>
        </w:rPr>
      </w:pPr>
      <w:r>
        <w:rPr>
          <w:rFonts w:ascii="Avenir Next Regular" w:hAnsi="Avenir Next Regular"/>
          <w:rtl w:val="0"/>
          <w:lang w:val="en-US"/>
        </w:rPr>
        <w:t>the extent to which internal overhead allocations contribute to the reported result;</w:t>
      </w:r>
    </w:p>
    <w:p>
      <w:pPr>
        <w:pStyle w:val="Compact"/>
        <w:numPr>
          <w:ilvl w:val="0"/>
          <w:numId w:val="2"/>
        </w:numPr>
        <w:rPr>
          <w:rFonts w:ascii="Avenir Next Regular" w:hAnsi="Avenir Next Regular"/>
          <w:lang w:val="en-US"/>
        </w:rPr>
      </w:pPr>
      <w:r>
        <w:rPr>
          <w:rFonts w:ascii="Avenir Next Regular" w:hAnsi="Avenir Next Regular"/>
          <w:rtl w:val="0"/>
          <w:lang w:val="en-US"/>
        </w:rPr>
        <w:t>whether the underlying medical practice is operating at a deficit; and</w:t>
      </w:r>
    </w:p>
    <w:p>
      <w:pPr>
        <w:pStyle w:val="Compact"/>
        <w:numPr>
          <w:ilvl w:val="0"/>
          <w:numId w:val="2"/>
        </w:numPr>
        <w:rPr>
          <w:rFonts w:ascii="Avenir Next Regular" w:hAnsi="Avenir Next Regular"/>
          <w:lang w:val="en-US"/>
        </w:rPr>
      </w:pPr>
      <w:r>
        <w:rPr>
          <w:rFonts w:ascii="Avenir Next Regular" w:hAnsi="Avenir Next Regular"/>
          <w:rtl w:val="0"/>
          <w:lang w:val="en-US"/>
        </w:rPr>
        <w:t>whether disposal would provide any meaningful long-term financial benefit to the community.</w:t>
      </w:r>
    </w:p>
    <w:p>
      <w:pPr>
        <w:pStyle w:val="First Paragraph"/>
        <w:rPr>
          <w:rFonts w:ascii="Avenir Next Regular" w:cs="Avenir Next Regular" w:hAnsi="Avenir Next Regular" w:eastAsia="Avenir Next Regular"/>
        </w:rPr>
      </w:pPr>
      <w:r>
        <w:rPr>
          <w:rFonts w:ascii="Avenir Next Regular" w:hAnsi="Avenir Next Regular"/>
          <w:rtl w:val="0"/>
          <w:lang w:val="en-US"/>
        </w:rPr>
        <w:t>If financial performance is the primary justification for pursuing a sale or transfer, Council should first be provided with a detailed and transparent financial analysis.</w:t>
      </w:r>
    </w:p>
    <w:p>
      <w:pPr>
        <w:pStyle w:val="Body Text"/>
        <w:rPr>
          <w:rFonts w:ascii="Avenir Next Regular" w:cs="Avenir Next Regular" w:hAnsi="Avenir Next Regular" w:eastAsia="Avenir Next Regular"/>
        </w:rPr>
      </w:pPr>
      <w:r>
        <w:rPr>
          <w:rFonts w:ascii="Avenir Next Regular" w:hAnsi="Avenir Next Regular"/>
          <w:rtl w:val="0"/>
          <w:lang w:val="en-US"/>
        </w:rPr>
        <w:t>A decision of this significance should not be based upon a headline figure that cannot be independently assessed from the information supplied.</w:t>
      </w:r>
      <w:bookmarkEnd w:id="2"/>
    </w:p>
    <w:p>
      <w:pPr>
        <w:pStyle w:val="Heading 3"/>
        <w:rPr>
          <w:rFonts w:ascii="Avenir Next Regular" w:cs="Avenir Next Regular" w:hAnsi="Avenir Next Regular" w:eastAsia="Avenir Next Regular"/>
          <w:b w:val="1"/>
          <w:bCs w:val="1"/>
        </w:rPr>
      </w:pPr>
      <w:bookmarkStart w:name="Xe60de895b8b09f3ff74a41c388c8a563b1a2efb" w:id="3"/>
      <w:r>
        <w:rPr>
          <w:rFonts w:ascii="Avenir Next Regular" w:hAnsi="Avenir Next Regular"/>
          <w:b w:val="1"/>
          <w:bCs w:val="1"/>
          <w:rtl w:val="0"/>
          <w:lang w:val="en-US"/>
        </w:rPr>
        <w:t>2. Failure to Demonstrate Consistency with the Strategic Community Plan</w:t>
      </w:r>
    </w:p>
    <w:p>
      <w:pPr>
        <w:pStyle w:val="First Paragraph"/>
        <w:rPr>
          <w:rFonts w:ascii="Avenir Next Regular" w:cs="Avenir Next Regular" w:hAnsi="Avenir Next Regular" w:eastAsia="Avenir Next Regular"/>
        </w:rPr>
      </w:pPr>
      <w:r>
        <w:rPr>
          <w:rFonts w:ascii="Avenir Next Regular" w:hAnsi="Avenir Next Regular"/>
          <w:rtl w:val="0"/>
          <w:lang w:val="en-US"/>
        </w:rPr>
        <w:t>The Shire</w:t>
      </w:r>
      <w:r>
        <w:rPr>
          <w:rFonts w:ascii="Avenir Next Regular" w:hAnsi="Avenir Next Regular" w:hint="default"/>
          <w:rtl w:val="0"/>
          <w:lang w:val="en-US"/>
        </w:rPr>
        <w:t>’</w:t>
      </w:r>
      <w:r>
        <w:rPr>
          <w:rFonts w:ascii="Avenir Next Regular" w:hAnsi="Avenir Next Regular"/>
          <w:rtl w:val="0"/>
          <w:lang w:val="en-US"/>
        </w:rPr>
        <w:t>s Strategic Community Plan 2021-2031 identifies retention of health and medical services as an important community priority.</w:t>
      </w:r>
    </w:p>
    <w:p>
      <w:pPr>
        <w:pStyle w:val="Body Text"/>
        <w:rPr>
          <w:rFonts w:ascii="Avenir Next Regular" w:cs="Avenir Next Regular" w:hAnsi="Avenir Next Regular" w:eastAsia="Avenir Next Regular"/>
        </w:rPr>
      </w:pPr>
      <w:r>
        <w:rPr>
          <w:rFonts w:ascii="Avenir Next Regular" w:hAnsi="Avenir Next Regular"/>
          <w:rtl w:val="0"/>
          <w:lang w:val="en-US"/>
        </w:rPr>
        <w:t>The community vision adopted within the Plan expressly recognises the importance of retaining health and medical services and supporting an ageing population.</w:t>
      </w:r>
    </w:p>
    <w:p>
      <w:pPr>
        <w:pStyle w:val="Body Text"/>
        <w:rPr>
          <w:rFonts w:ascii="Avenir Next Regular" w:cs="Avenir Next Regular" w:hAnsi="Avenir Next Regular" w:eastAsia="Avenir Next Regular"/>
        </w:rPr>
      </w:pPr>
      <w:r>
        <w:rPr>
          <w:rFonts w:ascii="Avenir Next Regular" w:hAnsi="Avenir Next Regular"/>
          <w:rtl w:val="0"/>
          <w:lang w:val="en-US"/>
        </w:rPr>
        <w:t>The Medical Centre is therefore not simply a business operation. It is directly connected to the achievement of strategic objectives adopted by Council following community consultation.</w:t>
      </w:r>
    </w:p>
    <w:p>
      <w:pPr>
        <w:pStyle w:val="Body Text"/>
        <w:rPr>
          <w:rFonts w:ascii="Avenir Next Regular" w:cs="Avenir Next Regular" w:hAnsi="Avenir Next Regular" w:eastAsia="Avenir Next Regular"/>
        </w:rPr>
      </w:pPr>
      <w:r>
        <w:rPr>
          <w:rFonts w:ascii="Avenir Next Regular" w:hAnsi="Avenir Next Regular"/>
          <w:rtl w:val="0"/>
          <w:lang w:val="en-US"/>
        </w:rPr>
        <w:t>Despite this, the report does not appear to contain any assessment of:</w:t>
      </w:r>
    </w:p>
    <w:p>
      <w:pPr>
        <w:pStyle w:val="Compact"/>
        <w:numPr>
          <w:ilvl w:val="0"/>
          <w:numId w:val="2"/>
        </w:numPr>
        <w:rPr>
          <w:rFonts w:ascii="Avenir Next Regular" w:hAnsi="Avenir Next Regular"/>
          <w:lang w:val="en-US"/>
        </w:rPr>
      </w:pPr>
      <w:r>
        <w:rPr>
          <w:rFonts w:ascii="Avenir Next Regular" w:hAnsi="Avenir Next Regular"/>
          <w:rtl w:val="0"/>
          <w:lang w:val="en-US"/>
        </w:rPr>
        <w:t>how the proposal aligns with the Strategic Community Plan;</w:t>
      </w:r>
    </w:p>
    <w:p>
      <w:pPr>
        <w:pStyle w:val="Compact"/>
        <w:numPr>
          <w:ilvl w:val="0"/>
          <w:numId w:val="2"/>
        </w:numPr>
        <w:rPr>
          <w:rFonts w:ascii="Avenir Next Regular" w:hAnsi="Avenir Next Regular"/>
          <w:lang w:val="en-US"/>
        </w:rPr>
      </w:pPr>
      <w:r>
        <w:rPr>
          <w:rFonts w:ascii="Avenir Next Regular" w:hAnsi="Avenir Next Regular"/>
          <w:rtl w:val="0"/>
          <w:lang w:val="en-US"/>
        </w:rPr>
        <w:t>how retention of medical services will be protected;</w:t>
      </w:r>
    </w:p>
    <w:p>
      <w:pPr>
        <w:pStyle w:val="Compact"/>
        <w:numPr>
          <w:ilvl w:val="0"/>
          <w:numId w:val="2"/>
        </w:numPr>
        <w:rPr>
          <w:rFonts w:ascii="Avenir Next Regular" w:hAnsi="Avenir Next Regular"/>
          <w:lang w:val="en-US"/>
        </w:rPr>
      </w:pPr>
      <w:r>
        <w:rPr>
          <w:rFonts w:ascii="Avenir Next Regular" w:hAnsi="Avenir Next Regular"/>
          <w:rtl w:val="0"/>
          <w:lang w:val="en-US"/>
        </w:rPr>
        <w:t>how community expectations identified through strategic planning will continue to be met; or</w:t>
      </w:r>
    </w:p>
    <w:p>
      <w:pPr>
        <w:pStyle w:val="Compact"/>
        <w:numPr>
          <w:ilvl w:val="0"/>
          <w:numId w:val="2"/>
        </w:numPr>
        <w:rPr>
          <w:rFonts w:ascii="Avenir Next Regular" w:hAnsi="Avenir Next Regular"/>
          <w:lang w:val="en-US"/>
        </w:rPr>
      </w:pPr>
      <w:r>
        <w:rPr>
          <w:rFonts w:ascii="Avenir Next Regular" w:hAnsi="Avenir Next Regular"/>
          <w:rtl w:val="0"/>
          <w:lang w:val="en-US"/>
        </w:rPr>
        <w:t>what risks may arise if future service delivery outcomes differ following transfer of ownership.</w:t>
      </w:r>
    </w:p>
    <w:p>
      <w:pPr>
        <w:pStyle w:val="First Paragraph"/>
        <w:rPr>
          <w:rFonts w:ascii="Avenir Next Regular" w:cs="Avenir Next Regular" w:hAnsi="Avenir Next Regular" w:eastAsia="Avenir Next Regular"/>
        </w:rPr>
      </w:pPr>
      <w:r>
        <w:rPr>
          <w:rFonts w:ascii="Avenir Next Regular" w:hAnsi="Avenir Next Regular"/>
          <w:rtl w:val="0"/>
          <w:lang w:val="en-US"/>
        </w:rPr>
        <w:t>Before supporting any proposal involving a strategic community asset, Council should be provided with evidence demonstrating how the proposal supports its own adopted strategic objectives.</w:t>
      </w:r>
      <w:bookmarkEnd w:id="3"/>
    </w:p>
    <w:p>
      <w:pPr>
        <w:pStyle w:val="Heading 3"/>
        <w:rPr>
          <w:rFonts w:ascii="Avenir Next Regular" w:cs="Avenir Next Regular" w:hAnsi="Avenir Next Regular" w:eastAsia="Avenir Next Regular"/>
          <w:b w:val="1"/>
          <w:bCs w:val="1"/>
        </w:rPr>
      </w:pPr>
      <w:bookmarkStart w:name="X62f1ffcadaf00d4767afacd25b47b55b19ecba1" w:id="4"/>
      <w:r>
        <w:rPr>
          <w:rFonts w:ascii="Avenir Next Regular" w:hAnsi="Avenir Next Regular"/>
          <w:b w:val="1"/>
          <w:bCs w:val="1"/>
          <w:rtl w:val="0"/>
          <w:lang w:val="en-US"/>
        </w:rPr>
        <w:t>3. Lack of a Clearly Documented Decision-Making Pathway</w:t>
      </w:r>
    </w:p>
    <w:p>
      <w:pPr>
        <w:pStyle w:val="First Paragraph"/>
        <w:rPr>
          <w:rFonts w:ascii="Avenir Next Regular" w:cs="Avenir Next Regular" w:hAnsi="Avenir Next Regular" w:eastAsia="Avenir Next Regular"/>
        </w:rPr>
      </w:pPr>
      <w:r>
        <w:rPr>
          <w:rFonts w:ascii="Avenir Next Regular" w:hAnsi="Avenir Next Regular"/>
          <w:rtl w:val="0"/>
          <w:lang w:val="en-US"/>
        </w:rPr>
        <w:t>A review of publicly available Council records does not appear to identify any prior Council resolution directing investigation of a sale, transfer or privatisation of the Medical Centre.</w:t>
      </w:r>
    </w:p>
    <w:p>
      <w:pPr>
        <w:pStyle w:val="Body Text"/>
        <w:rPr>
          <w:rFonts w:ascii="Avenir Next Regular" w:cs="Avenir Next Regular" w:hAnsi="Avenir Next Regular" w:eastAsia="Avenir Next Regular"/>
        </w:rPr>
      </w:pPr>
      <w:r>
        <w:rPr>
          <w:rFonts w:ascii="Avenir Next Regular" w:hAnsi="Avenir Next Regular"/>
          <w:rtl w:val="0"/>
          <w:lang w:val="en-US"/>
        </w:rPr>
        <w:t>Public records indicate that:</w:t>
      </w:r>
    </w:p>
    <w:p>
      <w:pPr>
        <w:pStyle w:val="Compact"/>
        <w:numPr>
          <w:ilvl w:val="0"/>
          <w:numId w:val="2"/>
        </w:numPr>
        <w:rPr>
          <w:rFonts w:ascii="Avenir Next Regular" w:hAnsi="Avenir Next Regular"/>
          <w:lang w:val="en-US"/>
        </w:rPr>
      </w:pPr>
      <w:r>
        <w:rPr>
          <w:rFonts w:ascii="Avenir Next Regular" w:hAnsi="Avenir Next Regular"/>
          <w:rtl w:val="0"/>
          <w:lang w:val="en-US"/>
        </w:rPr>
        <w:t>the Medical Services Committee remained active during 2025, with Council appointing a replacement committee member in May 2025;</w:t>
      </w:r>
    </w:p>
    <w:p>
      <w:pPr>
        <w:pStyle w:val="Compact"/>
        <w:numPr>
          <w:ilvl w:val="0"/>
          <w:numId w:val="2"/>
        </w:numPr>
        <w:rPr>
          <w:rFonts w:ascii="Avenir Next Regular" w:hAnsi="Avenir Next Regular"/>
          <w:lang w:val="en-US"/>
        </w:rPr>
      </w:pPr>
      <w:r>
        <w:rPr>
          <w:rFonts w:ascii="Avenir Next Regular" w:hAnsi="Avenir Next Regular"/>
          <w:rtl w:val="0"/>
          <w:lang w:val="en-US"/>
        </w:rPr>
        <w:t>Council subsequently dissolved the Medical Services Committee in October 2025 on the basis that governance efficiencies had been achieved through direct reporting to Council via the Chief Executive Officer; and</w:t>
      </w:r>
    </w:p>
    <w:p>
      <w:pPr>
        <w:pStyle w:val="Compact"/>
        <w:numPr>
          <w:ilvl w:val="0"/>
          <w:numId w:val="2"/>
        </w:numPr>
        <w:rPr>
          <w:rFonts w:ascii="Avenir Next Regular" w:hAnsi="Avenir Next Regular"/>
          <w:lang w:val="en-US"/>
        </w:rPr>
      </w:pPr>
      <w:r>
        <w:rPr>
          <w:rFonts w:ascii="Avenir Next Regular" w:hAnsi="Avenir Next Regular"/>
          <w:rtl w:val="0"/>
          <w:lang w:val="en-US"/>
        </w:rPr>
        <w:t>the current proposal has subsequently emerged without any publicly identified strategic review, business case, options analysis or community consultation process.</w:t>
      </w:r>
    </w:p>
    <w:p>
      <w:pPr>
        <w:pStyle w:val="First Paragraph"/>
        <w:rPr>
          <w:rFonts w:ascii="Avenir Next Regular" w:cs="Avenir Next Regular" w:hAnsi="Avenir Next Regular" w:eastAsia="Avenir Next Regular"/>
        </w:rPr>
      </w:pPr>
      <w:r>
        <w:rPr>
          <w:rFonts w:ascii="Avenir Next Regular" w:hAnsi="Avenir Next Regular"/>
          <w:rtl w:val="0"/>
          <w:lang w:val="en-US"/>
        </w:rPr>
        <w:t>The report does not identify:</w:t>
      </w:r>
    </w:p>
    <w:p>
      <w:pPr>
        <w:pStyle w:val="Compact"/>
        <w:numPr>
          <w:ilvl w:val="0"/>
          <w:numId w:val="2"/>
        </w:numPr>
        <w:rPr>
          <w:rFonts w:ascii="Avenir Next Regular" w:hAnsi="Avenir Next Regular"/>
          <w:lang w:val="en-US"/>
        </w:rPr>
      </w:pPr>
      <w:r>
        <w:rPr>
          <w:rFonts w:ascii="Avenir Next Regular" w:hAnsi="Avenir Next Regular"/>
          <w:rtl w:val="0"/>
          <w:lang w:val="en-US"/>
        </w:rPr>
        <w:t>when consideration of disposal or transfer first commenced;</w:t>
      </w:r>
    </w:p>
    <w:p>
      <w:pPr>
        <w:pStyle w:val="Compact"/>
        <w:numPr>
          <w:ilvl w:val="0"/>
          <w:numId w:val="2"/>
        </w:numPr>
        <w:rPr>
          <w:rFonts w:ascii="Avenir Next Regular" w:hAnsi="Avenir Next Regular"/>
          <w:lang w:val="en-US"/>
        </w:rPr>
      </w:pPr>
      <w:r>
        <w:rPr>
          <w:rFonts w:ascii="Avenir Next Regular" w:hAnsi="Avenir Next Regular"/>
          <w:rtl w:val="0"/>
          <w:lang w:val="en-US"/>
        </w:rPr>
        <w:t>what factors triggered that consideration;</w:t>
      </w:r>
    </w:p>
    <w:p>
      <w:pPr>
        <w:pStyle w:val="Compact"/>
        <w:numPr>
          <w:ilvl w:val="0"/>
          <w:numId w:val="2"/>
        </w:numPr>
        <w:rPr>
          <w:rFonts w:ascii="Avenir Next Regular" w:hAnsi="Avenir Next Regular"/>
          <w:lang w:val="en-US"/>
        </w:rPr>
      </w:pPr>
      <w:r>
        <w:rPr>
          <w:rFonts w:ascii="Avenir Next Regular" w:hAnsi="Avenir Next Regular"/>
          <w:rtl w:val="0"/>
          <w:lang w:val="en-US"/>
        </w:rPr>
        <w:t>whether alternative models were assessed;</w:t>
      </w:r>
    </w:p>
    <w:p>
      <w:pPr>
        <w:pStyle w:val="Compact"/>
        <w:numPr>
          <w:ilvl w:val="0"/>
          <w:numId w:val="2"/>
        </w:numPr>
        <w:rPr>
          <w:rFonts w:ascii="Avenir Next Regular" w:hAnsi="Avenir Next Regular"/>
          <w:lang w:val="en-US"/>
        </w:rPr>
      </w:pPr>
      <w:r>
        <w:rPr>
          <w:rFonts w:ascii="Avenir Next Regular" w:hAnsi="Avenir Next Regular"/>
          <w:rtl w:val="0"/>
          <w:lang w:val="en-US"/>
        </w:rPr>
        <w:t>what expert advice informed the recommendation; or</w:t>
      </w:r>
    </w:p>
    <w:p>
      <w:pPr>
        <w:pStyle w:val="Compact"/>
        <w:numPr>
          <w:ilvl w:val="0"/>
          <w:numId w:val="2"/>
        </w:numPr>
        <w:rPr>
          <w:rFonts w:ascii="Avenir Next Regular" w:hAnsi="Avenir Next Regular"/>
          <w:lang w:val="en-US"/>
        </w:rPr>
      </w:pPr>
      <w:r>
        <w:rPr>
          <w:rFonts w:ascii="Avenir Next Regular" w:hAnsi="Avenir Next Regular"/>
          <w:rtl w:val="0"/>
          <w:lang w:val="en-US"/>
        </w:rPr>
        <w:t>why disposal is considered preferable to other available options.</w:t>
      </w:r>
    </w:p>
    <w:p>
      <w:pPr>
        <w:pStyle w:val="First Paragraph"/>
        <w:rPr>
          <w:rFonts w:ascii="Avenir Next Regular" w:cs="Avenir Next Regular" w:hAnsi="Avenir Next Regular" w:eastAsia="Avenir Next Regular"/>
        </w:rPr>
      </w:pPr>
      <w:r>
        <w:rPr>
          <w:rFonts w:ascii="Avenir Next Regular" w:hAnsi="Avenir Next Regular"/>
          <w:rtl w:val="0"/>
          <w:lang w:val="en-US"/>
        </w:rPr>
        <w:t>For a proposal involving a significant community asset, a more transparent decision-making pathway would assist both Councillors and the community to understand how the recommendation was developed.</w:t>
      </w:r>
      <w:bookmarkEnd w:id="4"/>
    </w:p>
    <w:p>
      <w:pPr>
        <w:pStyle w:val="Heading 3"/>
        <w:rPr>
          <w:rFonts w:ascii="Avenir Next Regular" w:cs="Avenir Next Regular" w:hAnsi="Avenir Next Regular" w:eastAsia="Avenir Next Regular"/>
          <w:b w:val="1"/>
          <w:bCs w:val="1"/>
        </w:rPr>
      </w:pPr>
      <w:bookmarkStart w:name="lackofcommunityconsultation" w:id="5"/>
      <w:r>
        <w:rPr>
          <w:rFonts w:ascii="Avenir Next Regular" w:hAnsi="Avenir Next Regular"/>
          <w:b w:val="1"/>
          <w:bCs w:val="1"/>
          <w:rtl w:val="0"/>
          <w:lang w:val="en-US"/>
        </w:rPr>
        <w:t>4. Lack of Community Consultation</w:t>
      </w:r>
    </w:p>
    <w:p>
      <w:pPr>
        <w:pStyle w:val="First Paragraph"/>
        <w:rPr>
          <w:rFonts w:ascii="Avenir Next Regular" w:cs="Avenir Next Regular" w:hAnsi="Avenir Next Regular" w:eastAsia="Avenir Next Regular"/>
        </w:rPr>
      </w:pPr>
      <w:r>
        <w:rPr>
          <w:rFonts w:ascii="Avenir Next Regular" w:hAnsi="Avenir Next Regular"/>
          <w:rtl w:val="0"/>
          <w:lang w:val="en-US"/>
        </w:rPr>
        <w:t>The Strategic Community Plan identifies retention of medical services as a community priority.</w:t>
      </w:r>
    </w:p>
    <w:p>
      <w:pPr>
        <w:pStyle w:val="Body Text"/>
        <w:rPr>
          <w:rFonts w:ascii="Avenir Next Regular" w:cs="Avenir Next Regular" w:hAnsi="Avenir Next Regular" w:eastAsia="Avenir Next Regular"/>
        </w:rPr>
      </w:pPr>
      <w:r>
        <w:rPr>
          <w:rFonts w:ascii="Avenir Next Regular" w:hAnsi="Avenir Next Regular"/>
          <w:rtl w:val="0"/>
          <w:lang w:val="en-US"/>
        </w:rPr>
        <w:t>Given the significance of the Medical Centre to local healthcare access, community wellbeing and support for an ageing population, it is surprising that no community consultation appears to have been undertaken prior to the development of the recommendation.</w:t>
      </w:r>
    </w:p>
    <w:p>
      <w:pPr>
        <w:pStyle w:val="Body Text"/>
        <w:rPr>
          <w:rFonts w:ascii="Avenir Next Regular" w:cs="Avenir Next Regular" w:hAnsi="Avenir Next Regular" w:eastAsia="Avenir Next Regular"/>
        </w:rPr>
      </w:pPr>
      <w:r>
        <w:rPr>
          <w:rFonts w:ascii="Avenir Next Regular" w:hAnsi="Avenir Next Regular"/>
          <w:rtl w:val="0"/>
          <w:lang w:val="en-US"/>
        </w:rPr>
        <w:t>Before making an in-principle decision, Council should consider whether the community should first be provided with an opportunity to understand the proposal and express its views.</w:t>
      </w:r>
      <w:bookmarkEnd w:id="5"/>
    </w:p>
    <w:p>
      <w:pPr>
        <w:pStyle w:val="Heading 3"/>
        <w:rPr>
          <w:rFonts w:ascii="Avenir Next Regular" w:cs="Avenir Next Regular" w:hAnsi="Avenir Next Regular" w:eastAsia="Avenir Next Regular"/>
          <w:b w:val="1"/>
          <w:bCs w:val="1"/>
        </w:rPr>
      </w:pPr>
      <w:bookmarkStart w:name="conclusion" w:id="6"/>
      <w:r>
        <w:rPr>
          <w:rFonts w:ascii="Avenir Next Regular" w:hAnsi="Avenir Next Regular"/>
          <w:b w:val="1"/>
          <w:bCs w:val="1"/>
          <w:rtl w:val="0"/>
          <w:lang w:val="it-IT"/>
        </w:rPr>
        <w:t>Conclusion</w:t>
      </w:r>
    </w:p>
    <w:p>
      <w:pPr>
        <w:pStyle w:val="First Paragraph"/>
        <w:rPr>
          <w:rFonts w:ascii="Avenir Next Regular" w:cs="Avenir Next Regular" w:hAnsi="Avenir Next Regular" w:eastAsia="Avenir Next Regular"/>
        </w:rPr>
      </w:pPr>
      <w:r>
        <w:rPr>
          <w:rFonts w:ascii="Avenir Next Regular" w:hAnsi="Avenir Next Regular"/>
          <w:rtl w:val="0"/>
          <w:lang w:val="en-US"/>
        </w:rPr>
        <w:t>This submission does not argue that the Medical Centre must remain in Shire ownership indefinitely.</w:t>
      </w:r>
    </w:p>
    <w:p>
      <w:pPr>
        <w:pStyle w:val="Body Text"/>
        <w:rPr>
          <w:rFonts w:ascii="Avenir Next Regular" w:cs="Avenir Next Regular" w:hAnsi="Avenir Next Regular" w:eastAsia="Avenir Next Regular"/>
        </w:rPr>
      </w:pPr>
      <w:r>
        <w:rPr>
          <w:rFonts w:ascii="Avenir Next Regular" w:hAnsi="Avenir Next Regular"/>
          <w:rtl w:val="0"/>
          <w:lang w:val="en-US"/>
        </w:rPr>
        <w:t>Rather, it submits that Council has not yet been provided with sufficient information to determine whether the proposed course of action is in the best interests of the Boyup Brook community.</w:t>
      </w:r>
    </w:p>
    <w:p>
      <w:pPr>
        <w:pStyle w:val="Body Text"/>
        <w:rPr>
          <w:rFonts w:ascii="Avenir Next Regular" w:cs="Avenir Next Regular" w:hAnsi="Avenir Next Regular" w:eastAsia="Avenir Next Regular"/>
        </w:rPr>
      </w:pPr>
      <w:r>
        <w:rPr>
          <w:rFonts w:ascii="Avenir Next Regular" w:hAnsi="Avenir Next Regular"/>
          <w:rtl w:val="0"/>
          <w:lang w:val="en-US"/>
        </w:rPr>
        <w:t>The financial case has not been adequately demonstrated, the proposal has not been assessed against the Strategic Community Plan, the decision-making pathway is unclear, and community consultation does not appear to have occurred.</w:t>
      </w:r>
    </w:p>
    <w:p>
      <w:pPr>
        <w:pStyle w:val="Body Text"/>
      </w:pPr>
      <w:r>
        <w:rPr>
          <w:rFonts w:ascii="Avenir Next Regular" w:hAnsi="Avenir Next Regular"/>
          <w:rtl w:val="0"/>
          <w:lang w:val="en-US"/>
        </w:rPr>
        <w:t>Accordingly, Council should defer the recommendation and request a comprehensive business case, strategic assessment and community consultation process before considering any in-principle support for the proposal.</w:t>
      </w:r>
      <w:bookmarkEnd w:id="6"/>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Avenir N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