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6"/>
          <w:caps/>
        </w:rPr>
        <w:t xml:space="preserve">STATUTS</w:t>
      </w:r>
    </w:p>
    <w:p>
      <w:r>
        <w:br/>
      </w:r>
    </w:p>
    <w:p>
      <w:pPr>
        <w:jc w:val="center"/>
      </w:pPr>
      <w:r>
        <w:rPr>
          <w:b/>
          <w:sz w:val="28"/>
        </w:rPr>
        <w:t xml:space="preserve">{legal_form_full}</w:t>
      </w:r>
    </w:p>
    <w:p>
      <w:r>
        <w:br/>
      </w:r>
    </w:p>
    <w:p>
      <w:pPr>
        <w:jc w:val="center"/>
      </w:pPr>
      <w:r>
        <w:rPr>
          <w:b/>
          <w:sz w:val="28"/>
        </w:rPr>
        <w:t xml:space="preserve">« {company_name} »</w:t>
      </w:r>
    </w:p>
    <w:p>
      <w:r>
        <w:br/>
      </w:r>
    </w:p>
    <w:p>
      <w:pPr>
        <w:jc w:val="center"/>
      </w:pPr>
      <w:r>
        <w:rPr>
          <w:sz w:val="24"/>
        </w:rPr>
        <w:t xml:space="preserve">Capital social : {capital_amount_formatted} {capital_currency}</w:t>
      </w:r>
    </w:p>
    <w:p>
      <w:pPr>
        <w:jc w:val="center"/>
      </w:pPr>
      <w:r>
        <w:t xml:space="preserve">Siège social : {headquarters_address}, {headquarters_city}, {headquarters_country}</w:t>
      </w:r>
    </w:p>
    <w:p>
      <w:r>
        <w:br/>
      </w:r>
    </w:p>
    <w:p>
      <w:pPr>
        <w:pBdr>
          <w:bottom w:val="single" w:sz="4" w:space="1" w:color="auto"/>
        </w:pBdr>
      </w:pPr>
    </w:p>
    <w:p>
      <w:r>
        <w:br/>
      </w:r>
    </w:p>
    <w:p>
      <w:r>
        <w:rPr>
          <w:b/>
          <w:sz w:val="26"/>
        </w:rPr>
        <w:t xml:space="preserve">TITRE I — FORME, OBJET, DÉNOMINATION, SIÈGE, DURÉE</w:t>
      </w:r>
    </w:p>
    <w:p>
      <w:r>
        <w:br/>
      </w:r>
    </w:p>
    <w:p>
      <w:r>
        <w:rPr>
          <w:b/>
          <w:u w:val="single"/>
        </w:rPr>
        <w:t xml:space="preserve">Article 1 — Forme</w:t>
      </w:r>
    </w:p>
    <w:p>
      <w:r>
        <w:t xml:space="preserve">Il est formé entre les propriétaires des parts sociales ci-après créées et de celles qui pourraient l'être ultérieurement, une {legal_form_full} (« {legal_form} ») régie par l'Acte uniforme révisé relatif au droit des sociétés commerciales et du groupement d'intérêt économique (ci-après « l'Acte uniforme »), ainsi que par les présents statuts.</w:t>
      </w:r>
    </w:p>
    <w:p>
      <w:r>
        <w:br/>
      </w:r>
    </w:p>
    <w:p>
      <w:r>
        <w:rPr>
          <w:b/>
          <w:u w:val="single"/>
        </w:rPr>
        <w:t xml:space="preserve">Article 2 — Objet social</w:t>
      </w:r>
    </w:p>
    <w:p>
      <w:r>
        <w:t xml:space="preserve">La société a pour objet, directement ou indirectement, en tous pays :</w:t>
      </w:r>
    </w:p>
    <w:p>
      <w:r>
        <w:t xml:space="preserve">{business_object}</w:t>
      </w:r>
    </w:p>
    <w:p>
      <w:r>
        <w:t xml:space="preserve">Et généralement, toutes opérations commerciales, financières, industrielles, mobilières et immobilières se rattachant directement ou indirectement à l'objet social ou susceptibles d'en faciliter l'extension ou le développement.</w:t>
      </w:r>
    </w:p>
    <w:p>
      <w:r>
        <w:br/>
      </w:r>
    </w:p>
    <w:p>
      <w:r>
        <w:rPr>
          <w:b/>
          <w:u w:val="single"/>
        </w:rPr>
        <w:t xml:space="preserve">Article 3 — Dénomination sociale</w:t>
      </w:r>
    </w:p>
    <w:p>
      <w:r>
        <w:t xml:space="preserve">La société prend la dénomination sociale de : « {company_name} ».</w:t>
      </w:r>
    </w:p>
    <w:p>
      <w:r>
        <w:t xml:space="preserve">Dans tous les actes et documents émanant de la société et destinés aux tiers, la dénomination sociale devra toujours être précédée ou suivie des mots « Société à Responsabilité Limitée » ou du sigle « SARL », de l'énonciation du capital social et du numéro d'immatriculation au Registre du Commerce et du Crédit Mobilier.</w:t>
      </w:r>
    </w:p>
    <w:p>
      <w:r>
        <w:br/>
      </w:r>
    </w:p>
    <w:p>
      <w:r>
        <w:rPr>
          <w:b/>
          <w:u w:val="single"/>
        </w:rPr>
        <w:t xml:space="preserve">Article 4 — Siège social</w:t>
      </w:r>
    </w:p>
    <w:p>
      <w:r>
        <w:t xml:space="preserve">Le siège social est fixé à {headquarters_address}, {headquarters_city}, {headquarters_country}.</w:t>
      </w:r>
    </w:p>
    <w:p>
      <w:r>
        <w:t xml:space="preserve">Il pourra être transféré en tout autre lieu par décision de l'assemblée générale extraordinaire des associés.</w:t>
      </w:r>
    </w:p>
    <w:p>
      <w:r>
        <w:br/>
      </w:r>
    </w:p>
    <w:p>
      <w:r>
        <w:rPr>
          <w:b/>
          <w:u w:val="single"/>
        </w:rPr>
        <w:t xml:space="preserve">Article 5 — Durée</w:t>
      </w:r>
    </w:p>
    <w:p>
      <w:r>
        <w:t xml:space="preserve">La durée de la société est fixée à {duration} ({duration_words}) années à compter de la date de son immatriculation au Registre du Commerce et du Crédit Mobilier, sauf les cas de dissolution anticipée ou de prorogation prévus par les présents statuts ou par la loi.</w:t>
      </w:r>
    </w:p>
    <w:p>
      <w:r>
        <w:br/>
      </w:r>
    </w:p>
    <w:p>
      <w:r>
        <w:rPr>
          <w:b/>
          <w:sz w:val="26"/>
        </w:rPr>
        <w:t xml:space="preserve">TITRE II — APPORTS, CAPITAL SOCIAL, PARTS SOCIALES</w:t>
      </w:r>
    </w:p>
    <w:p>
      <w:r>
        <w:br/>
      </w:r>
    </w:p>
    <w:p>
      <w:r>
        <w:rPr>
          <w:b/>
          <w:u w:val="single"/>
        </w:rPr>
        <w:t xml:space="preserve">Article 6 — Apports</w:t>
      </w:r>
    </w:p>
    <w:p>
      <w:r>
        <w:t xml:space="preserve">Les soussignés font les apports suivants à la société :</w:t>
      </w:r>
    </w:p>
    <w:p>
      <w:r>
        <w:br/>
      </w:r>
    </w:p>
    <w:p>
      <w:r>
        <w:t xml:space="preserve">{#shareholders}</w:t>
      </w:r>
    </w:p>
    <w:p>
      <w:r>
        <w:t xml:space="preserve">- {display_name}, de nationalité {nationality}, demeurant à {address} :</w:t>
      </w:r>
    </w:p>
    <w:p>
      <w:r>
        <w:t xml:space="preserve">  Apport en {contribution_type} d'un montant de {shares_amount_formatted} {capital_currency}, soit {shares_count_formatted} parts sociales.</w:t>
      </w:r>
    </w:p>
    <w:p>
      <w:r>
        <w:br/>
      </w:r>
    </w:p>
    <w:p>
      <w:r>
        <w:t xml:space="preserve">{/shareholders}</w:t>
      </w:r>
    </w:p>
    <w:p>
      <w:r>
        <w:t xml:space="preserve">Total des apports : {capital_amount_formatted} {capital_currency}</w:t>
      </w:r>
    </w:p>
    <w:p>
      <w:r>
        <w:br/>
      </w:r>
    </w:p>
    <w:p>
      <w:r>
        <w:rPr>
          <w:b/>
          <w:u w:val="single"/>
        </w:rPr>
        <w:t xml:space="preserve">Article 7 — Capital social</w:t>
      </w:r>
    </w:p>
    <w:p>
      <w:r>
        <w:t xml:space="preserve">Le capital social est fixé à la somme de {capital_amount_formatted} ({capital_amount_words}) {capital_currency}.</w:t>
      </w:r>
    </w:p>
    <w:p>
      <w:r>
        <w:t xml:space="preserve">Il est divisé en {total_shares_formatted} ({total_shares_words}) parts sociales de {share_value_formatted} ({share_value_words}) {capital_currency} chacune, entièrement souscrites et libérées, numérotées de 1 à {total_shares_formatted}, et attribuées aux associés de la manière suivante :</w:t>
      </w:r>
    </w:p>
    <w:p>
      <w:r>
        <w:br/>
      </w:r>
    </w:p>
    <w:p>
      <w:r>
        <w:t xml:space="preserve">{#shareholders}</w:t>
      </w:r>
    </w:p>
    <w:p>
      <w:r>
        <w:t xml:space="preserve">- {display_name} : {shares_count_formatted} parts sociales, numérotées de ......... à .........</w:t>
      </w:r>
    </w:p>
    <w:p>
      <w:r>
        <w:t xml:space="preserve">{/shareholders}</w:t>
      </w:r>
    </w:p>
    <w:p>
      <w:r>
        <w:t xml:space="preserve">Total : {total_shares_formatted} parts sociales</w:t>
      </w:r>
    </w:p>
    <w:p>
      <w:r>
        <w:br/>
      </w:r>
    </w:p>
    <w:p>
      <w:r>
        <w:rPr>
          <w:b/>
          <w:u w:val="single"/>
        </w:rPr>
        <w:t xml:space="preserve">Article 8 — Parts sociales</w:t>
      </w:r>
    </w:p>
    <w:p>
      <w:r>
        <w:t xml:space="preserve">Les parts sociales sont nominatives. Elles ne peuvent être représentées par des titres négociables.</w:t>
      </w:r>
    </w:p>
    <w:p>
      <w:r>
        <w:br/>
      </w:r>
    </w:p>
    <w:p>
      <w:r>
        <w:rPr>
          <w:b/>
          <w:sz w:val="26"/>
        </w:rPr>
        <w:t xml:space="preserve">TITRE III — GÉRANCE</w:t>
      </w:r>
    </w:p>
    <w:p>
      <w:r>
        <w:br/>
      </w:r>
    </w:p>
    <w:p>
      <w:r>
        <w:rPr>
          <w:b/>
          <w:u w:val="single"/>
        </w:rPr>
        <w:t xml:space="preserve">Article 9 — Nomination du gérant</w:t>
      </w:r>
    </w:p>
    <w:p>
      <w:r>
        <w:t xml:space="preserve">La société est dirigée par un ou plusieurs gérants, personnes physiques, associés ou non, nommés par les associés.</w:t>
      </w:r>
    </w:p>
    <w:p>
      <w:r>
        <w:t xml:space="preserve">Est nommé en qualité de premier gérant de la société :</w:t>
      </w:r>
    </w:p>
    <w:p>
      <w:r>
        <w:t xml:space="preserve">{#managers}</w:t>
      </w:r>
    </w:p>
    <w:p>
      <w:r>
        <w:t xml:space="preserve">{display_name}, de nationalité {nationality}, né(e) le {birth_date} à {birth_place}, demeurant à {address}.</w:t>
      </w:r>
    </w:p>
    <w:p>
      <w:r>
        <w:t xml:space="preserve">{/managers}</w:t>
      </w:r>
    </w:p>
    <w:p>
      <w:r>
        <w:br/>
      </w:r>
    </w:p>
    <w:p>
      <w:r>
        <w:rPr>
          <w:b/>
          <w:u w:val="single"/>
        </w:rPr>
        <w:t xml:space="preserve">Article 10 — Pouvoirs du gérant</w:t>
      </w:r>
    </w:p>
    <w:p>
      <w:r>
        <w:t xml:space="preserve">Le gérant est investi des pouvoirs les plus étendus pour agir en toute circonstance au nom de la société, dans la limite de l'objet social et sous réserve des pouvoirs que la loi et les présents statuts attribuent expressément aux associés.</w:t>
      </w:r>
    </w:p>
    <w:p>
      <w:r>
        <w:br/>
      </w:r>
    </w:p>
    <w:p>
      <w:r>
        <w:rPr>
          <w:b/>
          <w:u w:val="single"/>
        </w:rPr>
        <w:t xml:space="preserve">Article 11 — Durée des fonctions</w:t>
      </w:r>
    </w:p>
    <w:p>
      <w:r>
        <w:t xml:space="preserve">Le gérant est nommé pour la durée de la société, sauf décision contraire de l'assemblée des associés.</w:t>
      </w:r>
    </w:p>
    <w:p>
      <w:r>
        <w:br/>
      </w:r>
    </w:p>
    <w:p>
      <w:r>
        <w:rPr>
          <w:b/>
          <w:sz w:val="26"/>
        </w:rPr>
        <w:t xml:space="preserve">TITRE IV — DÉCISIONS DES ASSOCIÉS</w:t>
      </w:r>
    </w:p>
    <w:p>
      <w:r>
        <w:br/>
      </w:r>
    </w:p>
    <w:p>
      <w:r>
        <w:rPr>
          <w:b/>
          <w:u w:val="single"/>
        </w:rPr>
        <w:t xml:space="preserve">Article 12 — Assemblées générales</w:t>
      </w:r>
    </w:p>
    <w:p>
      <w:r>
        <w:t xml:space="preserve">Les décisions des associés sont prises en assemblée générale. L'assemblée générale ordinaire est réunie au moins une fois par an dans les six (6) mois de la clôture de l'exercice social.</w:t>
      </w:r>
    </w:p>
    <w:p>
      <w:r>
        <w:br/>
      </w:r>
    </w:p>
    <w:p>
      <w:r>
        <w:rPr>
          <w:b/>
          <w:u w:val="single"/>
        </w:rPr>
        <w:t xml:space="preserve">Article 13 — Décisions extraordinaires</w:t>
      </w:r>
    </w:p>
    <w:p>
      <w:r>
        <w:t xml:space="preserve">Les décisions extraordinaires, notamment celles portant modification des statuts, sont prises à la majorité des trois quarts (3/4) des parts sociales.</w:t>
      </w:r>
    </w:p>
    <w:p>
      <w:r>
        <w:br/>
      </w:r>
    </w:p>
    <w:p>
      <w:r>
        <w:rPr>
          <w:b/>
          <w:sz w:val="26"/>
        </w:rPr>
        <w:t xml:space="preserve">TITRE V — EXERCICE SOCIAL, COMPTES, BÉNÉFICES</w:t>
      </w:r>
    </w:p>
    <w:p>
      <w:r>
        <w:br/>
      </w:r>
    </w:p>
    <w:p>
      <w:r>
        <w:rPr>
          <w:b/>
          <w:u w:val="single"/>
        </w:rPr>
        <w:t xml:space="preserve">Article 14 — Exercice social</w:t>
      </w:r>
    </w:p>
    <w:p>
      <w:r>
        <w:t xml:space="preserve">L'exercice social commence le {fiscal_year_start} et se termine le {fiscal_year_end} de chaque année.</w:t>
      </w:r>
    </w:p>
    <w:p>
      <w:r>
        <w:br/>
      </w:r>
    </w:p>
    <w:p>
      <w:r>
        <w:rPr>
          <w:b/>
          <w:u w:val="single"/>
        </w:rPr>
        <w:t xml:space="preserve">Article 15 — Affectation des résultats</w:t>
      </w:r>
    </w:p>
    <w:p>
      <w:r>
        <w:t xml:space="preserve">Sur le bénéfice net de chaque exercice, diminué le cas échéant des pertes antérieures, il est prélevé cinq pour cent (5%) pour constituer le fonds de réserve légale. Ce prélèvement cesse d'être obligatoire lorsque la réserve légale atteint le cinquième (1/5) du capital social.</w:t>
      </w:r>
    </w:p>
    <w:p>
      <w:r>
        <w:br/>
      </w:r>
    </w:p>
    <w:p>
      <w:r>
        <w:rPr>
          <w:b/>
          <w:sz w:val="26"/>
        </w:rPr>
        <w:t xml:space="preserve">TITRE VI — DISSOLUTION, LIQUIDATION</w:t>
      </w:r>
    </w:p>
    <w:p>
      <w:r>
        <w:br/>
      </w:r>
    </w:p>
    <w:p>
      <w:r>
        <w:rPr>
          <w:b/>
          <w:u w:val="single"/>
        </w:rPr>
        <w:t xml:space="preserve">Article 16 — Dissolution</w:t>
      </w:r>
    </w:p>
    <w:p>
      <w:r>
        <w:t xml:space="preserve">La société est dissoute dans les cas prévus par l'Acte uniforme, ou par décision de l'assemblée générale extraordinaire des associés.</w:t>
      </w:r>
    </w:p>
    <w:p>
      <w:r>
        <w:br/>
      </w:r>
    </w:p>
    <w:p>
      <w:r>
        <w:rPr>
          <w:b/>
          <w:u w:val="single"/>
        </w:rPr>
        <w:t xml:space="preserve">Article 17 — Liquidation</w:t>
      </w:r>
    </w:p>
    <w:p>
      <w:r>
        <w:t xml:space="preserve">En cas de dissolution, la liquidation est effectuée par le gérant en exercice, sauf si les associés en décident autrement.</w:t>
      </w:r>
    </w:p>
    <w:p>
      <w:r>
        <w:br/>
      </w:r>
    </w:p>
    <w:p>
      <w:pPr>
        <w:pBdr>
          <w:bottom w:val="single" w:sz="4" w:space="1" w:color="auto"/>
        </w:pBdr>
      </w:pPr>
    </w:p>
    <w:p>
      <w:r>
        <w:br/>
      </w:r>
    </w:p>
    <w:p>
      <w:pPr>
        <w:jc w:val="center"/>
      </w:pPr>
      <w:r>
        <w:t xml:space="preserve">Fait à {headquarters_city}, le {current_date}</w:t>
      </w:r>
    </w:p>
    <w:p>
      <w:r>
        <w:br/>
      </w:r>
    </w:p>
    <w:p>
      <w:pPr>
        <w:jc w:val="center"/>
      </w:pPr>
      <w:r>
        <w:t xml:space="preserve">En autant d'originaux que de parties, plus un pour le dépôt au Registre du Commerce et du Crédit Mobilier.</w:t>
      </w:r>
    </w:p>
    <w:p>
      <w:r>
        <w:br/>
      </w:r>
    </w:p>
    <w:p>
      <w:r>
        <w:br/>
      </w:r>
    </w:p>
    <w:p>
      <w:r>
        <w:rPr>
          <w:b/>
        </w:rPr>
        <w:t xml:space="preserve">Les associés :</w:t>
      </w:r>
    </w:p>
    <w:p>
      <w:r>
        <w:br/>
      </w:r>
    </w:p>
    <w:p>
      <w:r>
        <w:t xml:space="preserve">{#shareholders}</w:t>
      </w:r>
    </w:p>
    <w:p>
      <w:r>
        <w:t xml:space="preserve">{display_name}</w:t>
      </w:r>
    </w:p>
    <w:p>
      <w:r>
        <w:br/>
      </w:r>
    </w:p>
    <w:p>
      <w:r>
        <w:br/>
      </w:r>
    </w:p>
    <w:p>
      <w:r>
        <w:t xml:space="preserve">{/shareholders}</w:t>
      </w:r>
    </w:p>
  </w:body>
</w:document>
</file>

<file path=word/styles.xml><?xml version="1.0" encoding="utf-8"?>
<w:styles xmlns:w="http://schemas.openxmlformats.org/wordprocessingml/2006/main">
  <w:style w:type="paragraph" w:default="1" w:styleId="Normal">
    <w:name w:val="Normal"/>
    <w:rPr>
      <w:rFonts w:ascii="Garamond" w:hAnsi="Garamond"/>
      <w:sz w:val="24"/>
    </w:rPr>
    <w:pPr>
      <w:spacing w:after="120" w:line="276" w:lineRule="auto"/>
      <w:jc w:val="both"/>
    </w:pPr>
  </w:style>
  <w:style w:type="paragraph" w:styleId="Titre1">
    <w:name w:val="heading 1"/>
    <w:rPr>
      <w:rFonts w:ascii="Garamond" w:hAnsi="Garamond"/>
      <w:b/>
      <w:sz w:val="32"/>
      <w:caps/>
    </w:rPr>
    <w:pPr>
      <w:spacing w:before="240" w:after="120"/>
      <w:jc w:val="center"/>
    </w:pPr>
  </w:style>
  <w:style w:type="paragraph" w:styleId="Titre2">
    <w:name w:val="heading 2"/>
    <w:rPr>
      <w:rFonts w:ascii="Garamond" w:hAnsi="Garamond"/>
      <w:b/>
      <w:sz w:val="26"/>
    </w:rPr>
    <w:pPr>
      <w:spacing w:before="200" w:after="10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