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eetmq3i9k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Credit Bureau Reporting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265u17w5v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Optional. Compliant. Powerful.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our full-service recovery solutions,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offers optional </w:t>
      </w:r>
      <w:r w:rsidDel="00000000" w:rsidR="00000000" w:rsidRPr="00000000">
        <w:rPr>
          <w:b w:val="1"/>
          <w:rtl w:val="0"/>
        </w:rPr>
        <w:t xml:space="preserve">credit bureau reporting</w:t>
      </w:r>
      <w:r w:rsidDel="00000000" w:rsidR="00000000" w:rsidRPr="00000000">
        <w:rPr>
          <w:rtl w:val="0"/>
        </w:rPr>
        <w:t xml:space="preserve"> to enhance your collection strategy — </w:t>
      </w:r>
      <w:r w:rsidDel="00000000" w:rsidR="00000000" w:rsidRPr="00000000">
        <w:rPr>
          <w:b w:val="1"/>
          <w:rtl w:val="0"/>
        </w:rPr>
        <w:t xml:space="preserve">at no additional cost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report only with your authorization, and we handle every file with full adherence to the </w:t>
      </w:r>
      <w:r w:rsidDel="00000000" w:rsidR="00000000" w:rsidRPr="00000000">
        <w:rPr>
          <w:b w:val="1"/>
          <w:rtl w:val="0"/>
        </w:rPr>
        <w:t xml:space="preserve">Fair Credit Reporting Act (FCRA)</w:t>
      </w:r>
      <w:r w:rsidDel="00000000" w:rsidR="00000000" w:rsidRPr="00000000">
        <w:rPr>
          <w:rtl w:val="0"/>
        </w:rPr>
        <w:t xml:space="preserve"> and all applicable regulations. Disputed accounts are flagged appropriately, and all consumer data is transmitted securely and responsibly.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8im79jplz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Partnering with Elite for Credit Reporting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Save Time</w:t>
        <w:br w:type="textWrapping"/>
        <w:br w:type="textWrapping"/>
      </w:r>
      <w:r w:rsidDel="00000000" w:rsidR="00000000" w:rsidRPr="00000000">
        <w:rPr>
          <w:rtl w:val="0"/>
        </w:rPr>
        <w:t xml:space="preserve"> We handle all bureau submissions on your behalf — no extra systems or staffing required.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Stay Compliant</w:t>
        <w:br w:type="textWrapping"/>
        <w:br w:type="textWrapping"/>
      </w:r>
      <w:r w:rsidDel="00000000" w:rsidR="00000000" w:rsidRPr="00000000">
        <w:rPr>
          <w:rtl w:val="0"/>
        </w:rPr>
        <w:t xml:space="preserve"> We ensure all reporting is accurate, up to date, and reflects the current account status (including disputes), in accordance with FCRA.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Avoid Extra Overhead</w:t>
        <w:br w:type="textWrapping"/>
        <w:br w:type="textWrapping"/>
      </w:r>
      <w:r w:rsidDel="00000000" w:rsidR="00000000" w:rsidRPr="00000000">
        <w:rPr>
          <w:rtl w:val="0"/>
        </w:rPr>
        <w:t xml:space="preserve"> No software costs, no integration burdens — we manage the full reporting process from start to finish.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Improve Recovery Rates</w:t>
        <w:br w:type="textWrapping"/>
        <w:br w:type="textWrapping"/>
      </w:r>
      <w:r w:rsidDel="00000000" w:rsidR="00000000" w:rsidRPr="00000000">
        <w:rPr>
          <w:rtl w:val="0"/>
        </w:rPr>
        <w:t xml:space="preserve"> Credit reporting, when used strategically, can increase repayment motivation without compromising consumer rights.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Maximize Internal Productivity</w:t>
        <w:br w:type="textWrapping"/>
        <w:br w:type="textWrapping"/>
      </w:r>
      <w:r w:rsidDel="00000000" w:rsidR="00000000" w:rsidRPr="00000000">
        <w:rPr>
          <w:rtl w:val="0"/>
        </w:rPr>
        <w:t xml:space="preserve"> Your team focuses on core business while we handle the credit reporting logistics and compliance protocols.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stwhv1gxa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Your Gateway to the Bureaus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Elite Portfolio Management is fully integrated with the nation’s three major credit bureaus: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Experian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Equifax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TransUnion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secure systems and reporting protocols ensure that authorized accounts are updated accurately, flagged appropriately, and tracked in real-time.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Have questions about how credit reporting fits your strategy?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b w:val="1"/>
          <w:rtl w:val="0"/>
        </w:rPr>
        <w:t xml:space="preserve">1-800-XXX-XXXX</w:t>
      </w:r>
      <w:r w:rsidDel="00000000" w:rsidR="00000000" w:rsidRPr="00000000">
        <w:rPr>
          <w:rtl w:val="0"/>
        </w:rPr>
        <w:t xml:space="preserve"> to speak with our compliance and recovery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bdcy1qm84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Notice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7fj9sgihe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NYC Language Access Disclosure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New York City Department of Consumer and Worker Protection regulations, we ask for your preferred language.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services are currently provided in English. Multilingual resources are available at: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www.nyc.gov/dcwp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Alternate communication formats (large print, braille, audio CD) available upon request.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 Address]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yc.gov/dcwp" TargetMode="External"/><Relationship Id="rId7" Type="http://schemas.openxmlformats.org/officeDocument/2006/relationships/hyperlink" Target="https://www.nyc.gov/dc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