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7h9i2scvghu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Pre-Collection Services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lw3xasda4wz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Sometimes Early Intervention Is All It Takes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Resolve More. Sooner. Smarter.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At </w:t>
      </w:r>
      <w:r w:rsidDel="00000000" w:rsidR="00000000" w:rsidRPr="00000000">
        <w:rPr>
          <w:b w:val="1"/>
          <w:rtl w:val="0"/>
        </w:rPr>
        <w:t xml:space="preserve">Elite Portfolio Management</w:t>
      </w:r>
      <w:r w:rsidDel="00000000" w:rsidR="00000000" w:rsidRPr="00000000">
        <w:rPr>
          <w:rtl w:val="0"/>
        </w:rPr>
        <w:t xml:space="preserve">, we understand that the earlier you engage a delinquent account, the better the chances of resolution. That’s why our </w:t>
      </w:r>
      <w:r w:rsidDel="00000000" w:rsidR="00000000" w:rsidRPr="00000000">
        <w:rPr>
          <w:b w:val="1"/>
          <w:rtl w:val="0"/>
        </w:rPr>
        <w:t xml:space="preserve">Pre-Collection Services</w:t>
      </w:r>
      <w:r w:rsidDel="00000000" w:rsidR="00000000" w:rsidRPr="00000000">
        <w:rPr>
          <w:rtl w:val="0"/>
        </w:rPr>
        <w:t xml:space="preserve"> focus on proactive, respectful outreach for accounts that are slightly past due — long before charge-off or full collection becomes necessary.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accounts don’t need pressure. They need a nudge — and that’s exactly what we provide through strategic early-stage contact, powered by sophisticated analytics and handled with a brand-protective approach.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zyp49wqjqvu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Why Use Pre-Collection?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Our pre-collection strategy is ideal for businesses that want to: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Prevent escalation to full collections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Preserve customer relationships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Improve recovery rates on early-stage delinquencies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Maintain a professional and compliant outreach tone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Lower long-term collection costs by up to </w:t>
      </w:r>
      <w:r w:rsidDel="00000000" w:rsidR="00000000" w:rsidRPr="00000000">
        <w:rPr>
          <w:b w:val="1"/>
          <w:rtl w:val="0"/>
        </w:rPr>
        <w:t xml:space="preserve">80%</w:t>
        <w:br w:type="textWrapping"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a61mvre2ixh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What You Can Expect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Customized Outreach Plans</w:t>
        <w:br w:type="textWrapping"/>
        <w:br w:type="textWrapping"/>
      </w:r>
      <w:r w:rsidDel="00000000" w:rsidR="00000000" w:rsidRPr="00000000">
        <w:rPr>
          <w:rtl w:val="0"/>
        </w:rPr>
        <w:t xml:space="preserve"> Tailored to your business model, risk tolerance, and account timelines.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Brand-Friendly Communication</w:t>
        <w:br w:type="textWrapping"/>
        <w:br w:type="textWrapping"/>
      </w:r>
      <w:r w:rsidDel="00000000" w:rsidR="00000000" w:rsidRPr="00000000">
        <w:rPr>
          <w:rtl w:val="0"/>
        </w:rPr>
        <w:t xml:space="preserve"> Our contact methods prioritize your company’s image, focusing on clarity, professionalism, and empathy.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Full Regulatory Compliance</w:t>
        <w:br w:type="textWrapping"/>
        <w:br w:type="textWrapping"/>
      </w:r>
      <w:r w:rsidDel="00000000" w:rsidR="00000000" w:rsidRPr="00000000">
        <w:rPr>
          <w:rtl w:val="0"/>
        </w:rPr>
        <w:t xml:space="preserve"> Every message and method is FDCPA-compliant and aligned with industry-specific requirements.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Analytics-Driven Strategy</w:t>
        <w:br w:type="textWrapping"/>
        <w:br w:type="textWrapping"/>
      </w:r>
      <w:r w:rsidDel="00000000" w:rsidR="00000000" w:rsidRPr="00000000">
        <w:rPr>
          <w:rtl w:val="0"/>
        </w:rPr>
        <w:t xml:space="preserve"> We use early-stage scoring models and behavioral data to prioritize accounts and determine best contact methods.</w:t>
        <w:br w:type="textWrapping"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1w0axuh8zch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Business Benefits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Increased revenue and cash flow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Reduced bad-debt write-offs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Higher customer retention and goodwill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Up to </w:t>
      </w:r>
      <w:r w:rsidDel="00000000" w:rsidR="00000000" w:rsidRPr="00000000">
        <w:rPr>
          <w:b w:val="1"/>
          <w:rtl w:val="0"/>
        </w:rPr>
        <w:t xml:space="preserve">80% cost savings</w:t>
      </w:r>
      <w:r w:rsidDel="00000000" w:rsidR="00000000" w:rsidRPr="00000000">
        <w:rPr>
          <w:rtl w:val="0"/>
        </w:rPr>
        <w:t xml:space="preserve"> compared to traditional collections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Enhanced internal team efficiency through workload reduction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btb4y18fq1g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Let’s Solve It Before It Escalates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earlier you act, the greater your results. Our pre-collection programs are designed to restore account standing quickly — before costly charge-offs, disputes, or legal action take hold.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📞 </w:t>
      </w:r>
      <w:r w:rsidDel="00000000" w:rsidR="00000000" w:rsidRPr="00000000">
        <w:rPr>
          <w:b w:val="1"/>
          <w:rtl w:val="0"/>
        </w:rPr>
        <w:t xml:space="preserve">Call Elite Portfolio Management at 1-800-XXX-XXXX</w:t>
      </w:r>
      <w:r w:rsidDel="00000000" w:rsidR="00000000" w:rsidRPr="00000000">
        <w:rPr>
          <w:rtl w:val="0"/>
        </w:rPr>
        <w:t xml:space="preserve"> to get started today.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763w3386c3e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Legal Disclosure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is an attempt to collect a debt. Any information obtained will be used for that purpose. This communication is from a debt collector.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Elite Portfolio Management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 Box [Insert Address]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[City, State ZIP]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📞 1-800-XXX-XXXX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