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32itqf29v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Dispute My Account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tfin4ex6a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We’re Here to Help — Let’s Resolve It Together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believe an account placed with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is inaccurate or invalid, you have the right to dispute it. Please complete the form below to initiate a review of your account.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welcome (but not required) to explain the reason for your dispute or upload supporting documentation to help us investigate your claim as efficiently as possible.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y1w0wescj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Account Information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provide your details exactly as shown on your Elite account statement: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Elite Account Number (8-digit)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Creditor Name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and Last Name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Mailing Address (Street, City, State, Zip)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9k9pyjzkc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Contact Information (Optional)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of Phone (Mobile, Home, Work)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Providing this information is optional, but it helps us communicate with you more efficiently during the resolution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g7sz7p93o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Explain Your Dispute (Optional)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 to include a message explaining the reason for your dispute, or attach any related documents (such as billing statements or correspondence), you may do so here.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[Message Field]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[Attach File Field]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(CAPTCHA would appear here)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7g3fbmorq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 to Speak with Someone?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contact us directly to speak with an account representative: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1-800-XXX-XXXX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6i3anncyl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