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Arial" w:hAnsi="Arial"/>
          <w:b/>
          <w:color w:val="0A1E3C"/>
          <w:sz w:val="36"/>
        </w:rPr>
        <w:t>What Survives the Blur? Macro-Morphometric Feasibility and Bayesian Uncertainty Quantification in Routine Clinical Brain MRI</w:t>
      </w:r>
    </w:p>
    <w:p>
      <w:pPr>
        <w:spacing w:before="0" w:after="100" w:line="276" w:lineRule="auto"/>
      </w:pPr>
      <w:r>
        <w:rPr>
          <w:b/>
        </w:rPr>
        <w:t>Running Title:</w:t>
      </w:r>
      <w:r>
        <w:t xml:space="preserve"> Morphometry and Bayesian Modeling in Heterogeneous Clinical MRI  </w:t>
      </w:r>
    </w:p>
    <w:p>
      <w:pPr>
        <w:spacing w:before="0" w:after="100" w:line="276" w:lineRule="auto"/>
      </w:pPr>
      <w:r>
        <w:rPr>
          <w:b/>
        </w:rPr>
        <w:t>Target Journal:</w:t>
      </w:r>
      <w:r>
        <w:t xml:space="preserve"> </w:t>
      </w:r>
      <w:r>
        <w:rPr>
          <w:i/>
        </w:rPr>
        <w:t>NeuroImage</w:t>
      </w:r>
      <w:r>
        <w:t xml:space="preserve"> / </w:t>
      </w:r>
      <w:r>
        <w:rPr>
          <w:i/>
        </w:rPr>
        <w:t>Medical Image Analysis</w:t>
      </w:r>
      <w:r>
        <w:t xml:space="preserve"> / </w:t>
      </w:r>
      <w:r>
        <w:rPr>
          <w:i/>
        </w:rPr>
        <w:t>IEEE Transactions on Medical Imaging</w:t>
      </w:r>
    </w:p>
    <w:p>
      <w:pPr>
        <w:spacing w:before="120" w:after="120" w:line="120" w:lineRule="auto"/>
      </w:pPr>
      <w:r>
        <w:rPr>
          <w:color w:val="C8C8C8"/>
        </w:rPr>
        <w:t>―――――――――――――――――――――――――――――――――――――――――――――</w:t>
      </w:r>
    </w:p>
    <w:p>
      <w:pPr>
        <w:spacing w:before="320" w:after="120"/>
      </w:pPr>
      <w:r>
        <w:rPr>
          <w:rFonts w:ascii="Arial" w:hAnsi="Arial"/>
          <w:b/>
          <w:color w:val="142D50"/>
          <w:sz w:val="28"/>
        </w:rPr>
        <w:t>Authors &amp; Affiliations</w:t>
      </w:r>
    </w:p>
    <w:p>
      <w:pPr>
        <w:spacing w:before="0" w:after="100" w:line="276" w:lineRule="auto"/>
      </w:pPr>
      <w:r>
        <w:rPr>
          <w:b/>
        </w:rPr>
        <w:t>Patrick Filima</w:t>
      </w:r>
      <w:r>
        <w:t xml:space="preserve"> </w:t>
      </w:r>
      <w:r>
        <w:rPr>
          <w:rFonts w:ascii="Cambria Math" w:hAnsi="Cambria Math"/>
          <w:i/>
        </w:rPr>
        <w:t>^{1,2,*}</w:t>
      </w:r>
      <w:r>
        <w:t xml:space="preserve">, </w:t>
      </w:r>
      <w:r>
        <w:rPr>
          <w:b/>
        </w:rPr>
        <w:t>Collaborating Nigerian Neuroimaging Consortium</w:t>
      </w:r>
      <w:r>
        <w:t xml:space="preserve"> </w:t>
      </w:r>
      <w:r>
        <w:rPr>
          <w:rFonts w:ascii="Cambria Math" w:hAnsi="Cambria Math"/>
          <w:i/>
        </w:rPr>
        <w:t>^{1,3,4}</w:t>
      </w:r>
    </w:p>
    <w:p>
      <w:pPr>
        <w:pStyle w:val="ListNumber"/>
        <w:spacing w:before="20" w:after="40"/>
      </w:pPr>
      <w:r>
        <w:t>Department of Medical Radiography &amp; Radiological Sciences, Rivers State University Teaching Hospital, Port Harcourt, Nigeria</w:t>
      </w:r>
    </w:p>
    <w:p>
      <w:pPr>
        <w:pStyle w:val="ListNumber"/>
        <w:spacing w:before="20" w:after="40"/>
      </w:pPr>
      <w:r>
        <w:t>Computational Neuroimaging &amp; Bayesian Biomarker Laboratory, Port Harcourt, Nigeria</w:t>
      </w:r>
    </w:p>
    <w:p>
      <w:pPr>
        <w:pStyle w:val="ListNumber"/>
        <w:spacing w:before="20" w:after="40"/>
      </w:pPr>
      <w:r>
        <w:t>University of Port Harcourt Teaching Hospital (UPTH), Port Harcourt, Nigeria</w:t>
      </w:r>
    </w:p>
    <w:p>
      <w:pPr>
        <w:pStyle w:val="ListNumber"/>
        <w:spacing w:before="20" w:after="40"/>
      </w:pPr>
      <w:r>
        <w:t>Aminu Kano Teaching Hospital / National Kidney and Diagnostic Centre (AKTH/NKDC), Kano, Nigeria</w:t>
      </w:r>
    </w:p>
    <w:p>
      <w:pPr>
        <w:spacing w:before="0" w:after="100" w:line="276" w:lineRule="auto"/>
      </w:pPr>
      <w:r>
        <w:t>\</w:t>
      </w:r>
      <w:r>
        <w:rPr>
          <w:i/>
        </w:rPr>
        <w:t xml:space="preserve"> </w:t>
      </w:r>
      <w:r>
        <w:rPr>
          <w:i/>
        </w:rPr>
        <w:t>Corresponding Author:</w:t>
      </w:r>
      <w:r>
        <w:t>* Patrick Filima (patrick@example.edu / filimapatrick@gmail.com)</w:t>
      </w:r>
    </w:p>
    <w:p>
      <w:pPr>
        <w:spacing w:before="120" w:after="120" w:line="120" w:lineRule="auto"/>
      </w:pPr>
      <w:r>
        <w:rPr>
          <w:color w:val="C8C8C8"/>
        </w:rPr>
        <w:t>―――――――――――――――――――――――――――――――――――――――――――――</w:t>
      </w:r>
    </w:p>
    <w:p>
      <w:pPr>
        <w:spacing w:before="320" w:after="120"/>
      </w:pPr>
      <w:r>
        <w:rPr>
          <w:rFonts w:ascii="Arial" w:hAnsi="Arial"/>
          <w:b/>
          <w:color w:val="142D50"/>
          <w:sz w:val="28"/>
        </w:rPr>
        <w:t>Abstract</w:t>
      </w:r>
    </w:p>
    <w:p>
      <w:pPr>
        <w:spacing w:before="240" w:after="80"/>
      </w:pPr>
      <w:r>
        <w:rPr>
          <w:rFonts w:ascii="Arial" w:hAnsi="Arial"/>
          <w:b/>
          <w:color w:val="1E325A"/>
          <w:sz w:val="24"/>
        </w:rPr>
        <w:t>Background</w:t>
      </w:r>
    </w:p>
    <w:p>
      <w:pPr>
        <w:spacing w:before="0" w:after="100" w:line="276" w:lineRule="auto"/>
      </w:pPr>
      <w:r>
        <w:t>Quantitative structural magnetic resonance imaging (MRI) has emerged as an indispensable cornerstone of computational neuroscience. However, prevailing automated morphometric pipelines—such as FreeSurfer, FSL FIRST, and SPM—implicitly presuppose research-grade, isotropic 1.0 mm³ 3D acquisitions collected on high-field (</w:t>
      </w:r>
      <w:r>
        <w:rPr>
          <w:rFonts w:ascii="Cambria Math" w:hAnsi="Cambria Math"/>
          <w:i/>
        </w:rPr>
        <w:t>\ge 1.5\text{T}</w:t>
      </w:r>
      <w:r>
        <w:t>) scanners without intravenous gadolinium contrast. In routine healthcare systems, particularly in low- and middle-income countries (LMICs), the clinical reality is starkly disparate: radiological archives consist predominantly of highly anisotropic 2D thick-slice acquisitions (</w:t>
      </w:r>
      <w:r>
        <w:rPr>
          <w:rFonts w:ascii="Cambria Math" w:hAnsi="Cambria Math"/>
          <w:i/>
        </w:rPr>
        <w:t>3.0\text{--}10.0\text{ mm}</w:t>
      </w:r>
      <w:r>
        <w:t>), non-standardized field strengths (</w:t>
      </w:r>
      <w:r>
        <w:rPr>
          <w:rFonts w:ascii="Cambria Math" w:hAnsi="Cambria Math"/>
          <w:i/>
        </w:rPr>
        <w:t>0.30\text{--}1.5\text{T}</w:t>
      </w:r>
      <w:r>
        <w:t>), scanner upgrades, and diagnostic-driven gadolinium contrast administration. When standard computational pipelines are applied to such archives, they suffer catastrophic attrition (</w:t>
      </w:r>
      <w:r>
        <w:rPr>
          <w:rFonts w:ascii="Cambria Math" w:hAnsi="Cambria Math"/>
          <w:i/>
        </w:rPr>
        <w:t>&gt;85\%</w:t>
      </w:r>
      <w:r>
        <w:t xml:space="preserve"> failure rates) or generate severe, spurious volumetric biases.</w:t>
      </w:r>
    </w:p>
    <w:p>
      <w:pPr>
        <w:spacing w:before="240" w:after="80"/>
      </w:pPr>
      <w:r>
        <w:rPr>
          <w:rFonts w:ascii="Arial" w:hAnsi="Arial"/>
          <w:b/>
          <w:color w:val="1E325A"/>
          <w:sz w:val="24"/>
        </w:rPr>
        <w:t>Objectives</w:t>
      </w:r>
    </w:p>
    <w:p>
      <w:pPr>
        <w:spacing w:before="0" w:after="100" w:line="276" w:lineRule="auto"/>
      </w:pPr>
      <w:r>
        <w:t xml:space="preserve">This study establishes an evidence-based framework addressing a fundamental translational question: </w:t>
      </w:r>
      <w:r>
        <w:rPr>
          <w:b/>
        </w:rPr>
        <w:t>"What survives the blur?"</w:t>
      </w:r>
      <w:r>
        <w:t xml:space="preserve"> Specifically, we seek to: (1) empirically determine the survival boundary where anatomical metrics maintain measurement fidelity under progressive anisotropic slice degradation; (2) map clinical feasibility and failure modes across a heterogeneous multi-site African hospital cohort (</w:t>
      </w:r>
      <w:r>
        <w:rPr>
          <w:rFonts w:ascii="Cambria Math" w:hAnsi="Cambria Math"/>
          <w:i/>
        </w:rPr>
        <w:t>N=218</w:t>
      </w:r>
      <w:r>
        <w:t xml:space="preserve"> scans from 6 centers) contrasting a lightweight macro-morphometry engine against classical FreeSurfer parcellation; and (3) formulate a heteroskedastic Bayesian hierarchical model that estimates disease-associated morphometric changes while accounting for institutional site clustering, slice thickness uncertainty dispersion, and gadolinium-induced tissue intensity shifts.</w:t>
      </w:r>
    </w:p>
    <w:p>
      <w:pPr>
        <w:spacing w:before="240" w:after="80"/>
      </w:pPr>
      <w:r>
        <w:rPr>
          <w:rFonts w:ascii="Arial" w:hAnsi="Arial"/>
          <w:b/>
          <w:color w:val="1E325A"/>
          <w:sz w:val="24"/>
        </w:rPr>
        <w:t>Methods</w:t>
      </w:r>
    </w:p>
    <w:p>
      <w:pPr>
        <w:spacing w:before="0" w:after="100" w:line="276" w:lineRule="auto"/>
      </w:pPr>
      <w:r>
        <w:t xml:space="preserve">We deployed a three-tier experimental architecture. In </w:t>
      </w:r>
      <w:r>
        <w:rPr>
          <w:b/>
        </w:rPr>
        <w:t>Experiment 1 (Controlled Synthetic Degradation Lab)</w:t>
      </w:r>
      <w:r>
        <w:t xml:space="preserve">, </w:t>
      </w:r>
      <w:r>
        <w:rPr>
          <w:rFonts w:ascii="Cambria Math" w:hAnsi="Cambria Math"/>
          <w:i/>
        </w:rPr>
        <w:t>N=35</w:t>
      </w:r>
      <w:r>
        <w:t xml:space="preserve"> pristine 1.0 mm³ isotropic acquisitions were systematically downsampled along the slice-select axis to clinical slice thicknesses (</w:t>
      </w:r>
      <w:r>
        <w:rPr>
          <w:rFonts w:ascii="Cambria Math" w:hAnsi="Cambria Math"/>
          <w:i/>
        </w:rPr>
        <w:t>3.0, 4.0, 5.0, 6.0\text{ mm}</w:t>
      </w:r>
      <w:r>
        <w:t xml:space="preserve">), tracking relative percentage error across coarse macro-metrics (Evans' Index, Parenchymal Envelope Fraction [PEF], Ventricle-to-Brain Ratio [VBR]) versus classical subcortical micro-structures. In </w:t>
      </w:r>
      <w:r>
        <w:rPr>
          <w:b/>
        </w:rPr>
        <w:t>Experiment 2 (Clinical Feasibility &amp; Failure Boundaries)</w:t>
      </w:r>
      <w:r>
        <w:t xml:space="preserve">, we evaluated an automated macro-morphometry extraction engine across </w:t>
      </w:r>
      <w:r>
        <w:rPr>
          <w:rFonts w:ascii="Cambria Math" w:hAnsi="Cambria Math"/>
          <w:i/>
        </w:rPr>
        <w:t>N=218</w:t>
      </w:r>
      <w:r>
        <w:t xml:space="preserve"> routine clinical scans spanning five diagnostic groups (Healthy Controls, Dementia, Epilepsy, Hydrocephalus, Parkinson's Disease), directly bench-tested operational attrition against FreeSurfer, and fit a multivariate logistic regression failure model based on multi-criteria measurement unviability. In </w:t>
      </w:r>
      <w:r>
        <w:rPr>
          <w:b/>
        </w:rPr>
        <w:t>Experiment 3 (Uncertainty-Aware Disease Inference &amp; Sensitivity)</w:t>
      </w:r>
      <w:r>
        <w:t xml:space="preserve">, we developed a Bayesian hierarchical model in PyMC 5.12 using the No-U-Turn Sampler (NUTS; 4 chains </w:t>
      </w:r>
      <w:r>
        <w:rPr>
          <w:rFonts w:ascii="Cambria Math" w:hAnsi="Cambria Math"/>
          <w:i/>
        </w:rPr>
        <w:t>\times</w:t>
      </w:r>
      <w:r>
        <w:t xml:space="preserve"> 1,500 draws) incorporating an exponential noise dispersion function (</w:t>
      </w:r>
      <w:r>
        <w:rPr>
          <w:rFonts w:ascii="Cambria Math" w:hAnsi="Cambria Math"/>
          <w:i/>
        </w:rPr>
        <w:t>\sigma_i = \sigma_0 \exp(\lambda[h_i - 1])</w:t>
      </w:r>
      <w:r>
        <w:t>), site-level random intercepts (</w:t>
      </w:r>
      <w:r>
        <w:rPr>
          <w:rFonts w:ascii="Cambria Math" w:hAnsi="Cambria Math"/>
          <w:i/>
        </w:rPr>
        <w:t>\gamma_s</w:t>
      </w:r>
      <w:r>
        <w:t>), and contrast adjustment (</w:t>
      </w:r>
      <w:r>
        <w:rPr>
          <w:rFonts w:ascii="Cambria Math" w:hAnsi="Cambria Math"/>
          <w:i/>
        </w:rPr>
        <w:t>\delta</w:t>
      </w:r>
      <w:r>
        <w:t>), benchmarked against naive and covariate-adjusted ordinary least squares (OLS) regressions, and subjected to rigorous sensitivity analyses (contrast exclusion and site-pruning).</w:t>
      </w:r>
    </w:p>
    <w:p>
      <w:pPr>
        <w:spacing w:before="240" w:after="80"/>
      </w:pPr>
      <w:r>
        <w:rPr>
          <w:rFonts w:ascii="Arial" w:hAnsi="Arial"/>
          <w:b/>
          <w:color w:val="1E325A"/>
          <w:sz w:val="24"/>
        </w:rPr>
        <w:t>Results</w:t>
      </w:r>
    </w:p>
    <w:p>
      <w:pPr>
        <w:spacing w:before="0" w:after="100" w:line="276" w:lineRule="auto"/>
      </w:pPr>
      <w:r>
        <w:t>In Experiment 1, 2D in-plane measurements (</w:t>
      </w:r>
      <w:r>
        <w:rPr>
          <w:b/>
        </w:rPr>
        <w:t>Evans' Index</w:t>
      </w:r>
      <w:r>
        <w:t xml:space="preserve">) demonstrated remarkable resilience to through-plane slice blur, exhibiting only </w:t>
      </w:r>
      <w:r>
        <w:rPr>
          <w:rFonts w:ascii="Cambria Math" w:hAnsi="Cambria Math"/>
          <w:i/>
        </w:rPr>
        <w:t>1.83 \pm 2.38\%</w:t>
      </w:r>
      <w:r>
        <w:t xml:space="preserve"> relative error at 3.0 mm and </w:t>
      </w:r>
      <w:r>
        <w:rPr>
          <w:rFonts w:ascii="Cambria Math" w:hAnsi="Cambria Math"/>
          <w:i/>
        </w:rPr>
        <w:t>2.45 \pm 2.50\%</w:t>
      </w:r>
      <w:r>
        <w:t xml:space="preserve"> at 5.0 mm relative to the undegraded high-resolution reference. Global parenchymal envelope fraction (PEF) remained moderately stable (</w:t>
      </w:r>
      <w:r>
        <w:rPr>
          <w:rFonts w:ascii="Cambria Math" w:hAnsi="Cambria Math"/>
          <w:i/>
        </w:rPr>
        <w:t>6.06 \pm 2.24\%</w:t>
      </w:r>
      <w:r>
        <w:t xml:space="preserve"> error at 5.0 mm). Conversely, fine subcortical micro-segmentations (</w:t>
      </w:r>
      <w:r>
        <w:rPr>
          <w:rFonts w:ascii="Cambria Math" w:hAnsi="Cambria Math"/>
          <w:i/>
        </w:rPr>
        <w:t>45.31 \pm 33.62\%</w:t>
      </w:r>
      <w:r>
        <w:t xml:space="preserve"> error) and boundary-sensitive ratios (VBR: </w:t>
      </w:r>
      <w:r>
        <w:rPr>
          <w:rFonts w:ascii="Cambria Math" w:hAnsi="Cambria Math"/>
          <w:i/>
        </w:rPr>
        <w:t>42.15 \pm 24.03\%</w:t>
      </w:r>
      <w:r>
        <w:t xml:space="preserve"> error) collapsed under clinical slice thicknesses. In Experiment 2, our macro-morphometry engine achieved a </w:t>
      </w:r>
      <w:r>
        <w:rPr>
          <w:b/>
        </w:rPr>
        <w:t>95.9% pipeline retention rate</w:t>
      </w:r>
      <w:r>
        <w:t xml:space="preserve"> (</w:t>
      </w:r>
      <w:r>
        <w:rPr>
          <w:rFonts w:ascii="Cambria Math" w:hAnsi="Cambria Math"/>
          <w:i/>
        </w:rPr>
        <w:t>209/218</w:t>
      </w:r>
      <w:r>
        <w:t xml:space="preserve"> scans), retaining 100% of the hydrocephalus cohort that failed FreeSurfer (which suffered an overall 85.3% attrition rate, completing only 32/218 scans as documented in subject-level logs). Multivariate Bayesian logistic regression confirmed that each millimeter increase in slice thickness increases measurement unviability odds (</w:t>
      </w:r>
      <w:r>
        <w:rPr>
          <w:rFonts w:ascii="Cambria Math" w:hAnsi="Cambria Math"/>
          <w:i/>
        </w:rPr>
        <w:t>\text{OR} = 1.644, 95\%\text{ HDI: } [1.074, 2.557]</w:t>
      </w:r>
      <w:r>
        <w:t>), while low-field acquisition markedly elevates unviability risk (</w:t>
      </w:r>
      <w:r>
        <w:rPr>
          <w:rFonts w:ascii="Cambria Math" w:hAnsi="Cambria Math"/>
          <w:i/>
        </w:rPr>
        <w:t>\text{OR} = 6.117, 95\%\text{ HDI: } [1.851, 20.040]</w:t>
      </w:r>
      <w:r>
        <w:t>), and gadolinium contrast exhibits an elevated median odds ratio (</w:t>
      </w:r>
      <w:r>
        <w:rPr>
          <w:rFonts w:ascii="Cambria Math" w:hAnsi="Cambria Math"/>
          <w:i/>
        </w:rPr>
        <w:t>\text{OR} = 1.948, 95\%\text{ HDI: } [0.556, 6.519]</w:t>
      </w:r>
      <w:r>
        <w:t>). In Experiment 3, Bayesian NUTS inference demonstrated exceptional convergence (</w:t>
      </w:r>
      <w:r>
        <w:rPr>
          <w:rFonts w:ascii="Cambria Math" w:hAnsi="Cambria Math"/>
          <w:i/>
        </w:rPr>
        <w:t>\hat{R} = 1.000</w:t>
      </w:r>
      <w:r>
        <w:t xml:space="preserve">, </w:t>
      </w:r>
      <w:r>
        <w:rPr>
          <w:rFonts w:ascii="Cambria Math" w:hAnsi="Cambria Math"/>
          <w:i/>
        </w:rPr>
        <w:t>\text{ESS} &gt; 2,000</w:t>
      </w:r>
      <w:r>
        <w:t xml:space="preserve"> across all monitored parameters). Slice thickness significantly inflated residual uncertainty (</w:t>
      </w:r>
      <w:r>
        <w:rPr>
          <w:rFonts w:ascii="Cambria Math" w:hAnsi="Cambria Math"/>
          <w:i/>
        </w:rPr>
        <w:t>\lambda = 0.0930, 95\%\text{ HDI: } [0.0260, 0.1560]</w:t>
      </w:r>
      <w:r>
        <w:t xml:space="preserve"> for Evans' Index, compounding residual SD by </w:t>
      </w:r>
      <w:r>
        <w:rPr>
          <w:rFonts w:ascii="Cambria Math" w:hAnsi="Cambria Math"/>
          <w:i/>
        </w:rPr>
        <w:t>\sim 9.7\%</w:t>
      </w:r>
      <w:r>
        <w:t xml:space="preserve"> per additional mm based on </w:t>
      </w:r>
      <w:r>
        <w:rPr>
          <w:rFonts w:ascii="Cambria Math" w:hAnsi="Cambria Math"/>
          <w:i/>
        </w:rPr>
        <w:t>100(e^\lambda-1)</w:t>
      </w:r>
      <w:r>
        <w:t xml:space="preserve">; </w:t>
      </w:r>
      <w:r>
        <w:rPr>
          <w:rFonts w:ascii="Cambria Math" w:hAnsi="Cambria Math"/>
          <w:i/>
        </w:rPr>
        <w:t>\lambda = 0.1060, 95\%\text{ HDI: } [0.0340, 0.1790]</w:t>
      </w:r>
      <w:r>
        <w:t xml:space="preserve"> for PEF, compounding residual SD by </w:t>
      </w:r>
      <w:r>
        <w:rPr>
          <w:rFonts w:ascii="Cambria Math" w:hAnsi="Cambria Math"/>
          <w:i/>
        </w:rPr>
        <w:t>\sim 11.2\%</w:t>
      </w:r>
      <w:r>
        <w:t xml:space="preserve"> per mm), while gadolinium contrast systematically shifted apparent parenchymal envelope fraction by </w:t>
      </w:r>
      <w:r>
        <w:rPr>
          <w:rFonts w:ascii="Cambria Math" w:hAnsi="Cambria Math"/>
          <w:i/>
        </w:rPr>
        <w:t>+3.1\%</w:t>
      </w:r>
      <w:r>
        <w:t xml:space="preserve"> (</w:t>
      </w:r>
      <w:r>
        <w:rPr>
          <w:rFonts w:ascii="Cambria Math" w:hAnsi="Cambria Math"/>
          <w:i/>
        </w:rPr>
        <w:t>\delta = +0.0310, 95\%\text{ HDI: } [0.0130, 0.0500]</w:t>
      </w:r>
      <w:r>
        <w:t xml:space="preserve">). Variance partitioning revealed that site-level clustering accounted for </w:t>
      </w:r>
      <w:r>
        <w:rPr>
          <w:b/>
        </w:rPr>
        <w:t>$61.5\%\text{--}68.8\%$ of total modeled variance at the 1.0 mm reference scale</w:t>
      </w:r>
      <w:r>
        <w:t xml:space="preserve"> (</w:t>
      </w:r>
      <w:r>
        <w:rPr>
          <w:rFonts w:ascii="Cambria Math" w:hAnsi="Cambria Math"/>
          <w:i/>
        </w:rPr>
        <w:t>\text{ICC}_{\text{site}}^{1\text{mm}} = 0.6880</w:t>
      </w:r>
      <w:r>
        <w:t xml:space="preserve"> for Evans' Index; </w:t>
      </w:r>
      <w:r>
        <w:rPr>
          <w:rFonts w:ascii="Cambria Math" w:hAnsi="Cambria Math"/>
          <w:i/>
        </w:rPr>
        <w:t>0.6150</w:t>
      </w:r>
      <w:r>
        <w:t xml:space="preserve"> for PEF) and </w:t>
      </w:r>
      <w:r>
        <w:rPr>
          <w:b/>
        </w:rPr>
        <w:t>$47.0\%\text{--}56.4\%$ across the clinical cohort average</w:t>
      </w:r>
      <w:r>
        <w:t xml:space="preserve"> (</w:t>
      </w:r>
      <w:r>
        <w:rPr>
          <w:rFonts w:ascii="Cambria Math" w:hAnsi="Cambria Math"/>
          <w:i/>
        </w:rPr>
        <w:t>\text{ICC}_{\text{site}}^{\text{clinical}} = 0.5640</w:t>
      </w:r>
      <w:r>
        <w:t xml:space="preserve"> for Evans' Index; </w:t>
      </w:r>
      <w:r>
        <w:rPr>
          <w:rFonts w:ascii="Cambria Math" w:hAnsi="Cambria Math"/>
          <w:i/>
        </w:rPr>
        <w:t>0.4700</w:t>
      </w:r>
      <w:r>
        <w:t xml:space="preserve"> for PEF), reflecting the composite bundling of scanner hardware, acquisition protocols, institutional patient referral mix, and operator choices, completely dwarfing raw diagnostic differences (</w:t>
      </w:r>
      <w:r>
        <w:rPr>
          <w:rFonts w:ascii="Cambria Math" w:hAnsi="Cambria Math"/>
          <w:i/>
        </w:rPr>
        <w:t>\text{ICC}_{\text{disorder}} \approx 3.2\%\text{--}5.8\%</w:t>
      </w:r>
      <w:r>
        <w:t>). Sensitivity analyses produced overlapping posterior intervals across restricted subsets, while several point estimates changed sign, reinforcing the weak identifiability of disease-specific effects.</w:t>
      </w:r>
    </w:p>
    <w:p>
      <w:pPr>
        <w:spacing w:before="240" w:after="80"/>
      </w:pPr>
      <w:r>
        <w:rPr>
          <w:rFonts w:ascii="Arial" w:hAnsi="Arial"/>
          <w:b/>
          <w:color w:val="1E325A"/>
          <w:sz w:val="24"/>
        </w:rPr>
        <w:t>Conclusions</w:t>
      </w:r>
    </w:p>
    <w:p>
      <w:pPr>
        <w:spacing w:before="0" w:after="100" w:line="276" w:lineRule="auto"/>
      </w:pPr>
      <w:r>
        <w:t>High-resolution research paradigms cannot be directly transplanted into routine clinical imaging environments. By focusing on in-plane macro-morphometry (Evans' Index) and integrating heteroskedastic Bayesian uncertainty modeling, automated quantitative imaging can be extended to heterogeneous hospital archives while transparently exposing the limits of causal disease identifiability.</w:t>
      </w:r>
    </w:p>
    <w:p>
      <w:pPr>
        <w:spacing w:before="0" w:after="100" w:line="276" w:lineRule="auto"/>
      </w:pPr>
      <w:r>
        <w:rPr>
          <w:b/>
        </w:rPr>
        <w:t>Keywords:</w:t>
      </w:r>
      <w:r>
        <w:t xml:space="preserve"> Bayesian Hierarchical Modeling; Routine Clinical MRI; Low- and Middle-Income Countries (LMIC); Evans' Index; Slice Thickness Degradation; Partial Volume Effects; Gadolinium Confounding; Neuroimaging Biomarkers; Parenchymal Envelope Fraction.</w:t>
      </w:r>
    </w:p>
    <w:p>
      <w:pPr>
        <w:spacing w:before="120" w:after="120" w:line="120" w:lineRule="auto"/>
      </w:pPr>
      <w:r>
        <w:rPr>
          <w:color w:val="C8C8C8"/>
        </w:rPr>
        <w:t>―――――――――――――――――――――――――――――――――――――――――――――</w:t>
      </w:r>
    </w:p>
    <w:p>
      <w:pPr>
        <w:spacing w:before="320" w:after="120"/>
      </w:pPr>
      <w:r>
        <w:rPr>
          <w:rFonts w:ascii="Arial" w:hAnsi="Arial"/>
          <w:b/>
          <w:color w:val="142D50"/>
          <w:sz w:val="28"/>
        </w:rPr>
        <w:t>Significance Statement</w:t>
      </w:r>
    </w:p>
    <w:p>
      <w:pPr>
        <w:spacing w:before="0" w:after="100" w:line="276" w:lineRule="auto"/>
      </w:pPr>
      <w:r>
        <w:t>Over 80% of published neuroimaging research relies on homogeneous, research-dedicated cohorts (e.g., ADNI, UK Biobank) characterized by uniform, isotropic, high-field acquisitions. However, the global clinical burden of neurological disease is managed on routine hospital MRI systems where scans are acquired with thick 2D slices, varying field strengths, and intravenous contrast agents. Standard neuroimaging software fails catastrophically on these scans, creating an algorithmic divide that excludes low- and middle-income countries from computational neuroimaging research. This study provides both the physical foundation and the statistical framework for opportunistic morphometry in routine clinical archives, demonstrating which anatomical metrics remain measurement-stable under controlled through-plane degradation and how Bayesian hierarchical models reduce overconfident disease attribution by explicitly representing site clustering and acquisition-dependent uncertainty.</w:t>
      </w:r>
    </w:p>
    <w:p>
      <w:pPr>
        <w:spacing w:before="120" w:after="120" w:line="120" w:lineRule="auto"/>
      </w:pPr>
      <w:r>
        <w:rPr>
          <w:color w:val="C8C8C8"/>
        </w:rPr>
        <w:t>―――――――――――――――――――――――――――――――――――――――――――――</w:t>
      </w:r>
    </w:p>
    <w:p>
      <w:pPr>
        <w:spacing w:before="320" w:after="120"/>
      </w:pPr>
      <w:r>
        <w:rPr>
          <w:rFonts w:ascii="Arial" w:hAnsi="Arial"/>
          <w:b/>
          <w:color w:val="142D50"/>
          <w:sz w:val="28"/>
        </w:rPr>
        <w:t>1. Introduction</w:t>
      </w:r>
    </w:p>
    <w:p>
      <w:pPr>
        <w:spacing w:before="0" w:after="100" w:line="276" w:lineRule="auto"/>
      </w:pPr>
      <w:r>
        <w:t>Over the past three decades, computational neuroimaging has revolutionized our understanding of brain morphology across the lifespan and throughout the progression of neurodegenerative and neurodevelopmental disorders (Ashburner &amp; Friston, 2000; Fischl, 2012; Frisoni et al., 2010). Volumetric magnetic resonance imaging (MRI) pipelines—exemplified by FreeSurfer, FSL (FAST/FIRST), SPM, and ANTs—have become the gold standard for quantifying cortical thickness, subcortical nuclear volumes, and ventricular expansion (Avants et al., 2009; Fischl et al., 2002; Jenkinson et al., 2012; Patenaude et al., 2011).</w:t>
      </w:r>
    </w:p>
    <w:p>
      <w:pPr>
        <w:spacing w:before="0" w:after="100" w:line="276" w:lineRule="auto"/>
      </w:pPr>
      <w:r>
        <w:t xml:space="preserve">However, a profound and rarely acknowledged methodological divide separates academic neuroimaging research from routine clinical practice. Standard automated morphometry tools were designed, calibrated, and validated almost exclusively on research-grade datasets such as the Alzheimer’s Disease Neuroimaging Initiative (ADNI; Jack et al., 2008), the UK Biobank (Alfaro-Almagro et al., 2018), and the Human Connectome Project (Van Essen et al., 2012). These research consortia enforce strict acquisition protocols: 3D T1-weighted magnetization-prepared rapid gradient-echo (MPRAGE) or inversion-recovery sequences, isotropic </w:t>
      </w:r>
      <w:r>
        <w:rPr>
          <w:rFonts w:ascii="Cambria Math" w:hAnsi="Cambria Math"/>
          <w:i/>
        </w:rPr>
        <w:t>1.0\text{ mm}^3</w:t>
      </w:r>
      <w:r>
        <w:t xml:space="preserve"> (or sub-millimeter) voxel dimensions, 3.0T or standardized 1.5T field strengths, rigid head immobilization, and strict prohibition of intravenous contrast agents (Jack et al., 2010).</w:t>
      </w:r>
    </w:p>
    <w:p>
      <w:pPr>
        <w:spacing w:before="0" w:after="100" w:line="276" w:lineRule="auto"/>
      </w:pPr>
      <w:r>
        <w:t>In clinical radiology departments worldwide—and most acutely across low- and middle-income countries (LMICs)—routine brain MRI is governed by entirely different diagnostic priorities and economic constraints (Geethanath &amp; Vaughan, 2019; Ogbole et al., 2018). Clinical protocols prioritize rapid patient throughput, motion tolerance, and specific pathological conspicuity over volumetric uniformity. Consequently, routine hospital archives consist primarily of:</w:t>
      </w:r>
    </w:p>
    <w:p>
      <w:pPr>
        <w:pStyle w:val="ListNumber"/>
        <w:spacing w:before="20" w:after="40"/>
      </w:pPr>
      <w:r>
        <w:rPr>
          <w:b/>
        </w:rPr>
        <w:t>2D Anisotropic Multi-Slice Sequences:</w:t>
      </w:r>
      <w:r>
        <w:t xml:space="preserve"> Transverse or coronal Fast Spin Echo (FSE) or gradient echo scans with slice thicknesses ranging from </w:t>
      </w:r>
      <w:r>
        <w:rPr>
          <w:rFonts w:ascii="Cambria Math" w:hAnsi="Cambria Math"/>
          <w:i/>
        </w:rPr>
        <w:t>3.0\text{ mm}</w:t>
      </w:r>
      <w:r>
        <w:t xml:space="preserve"> to </w:t>
      </w:r>
      <w:r>
        <w:rPr>
          <w:rFonts w:ascii="Cambria Math" w:hAnsi="Cambria Math"/>
          <w:i/>
        </w:rPr>
        <w:t>10.0\text{ mm}</w:t>
      </w:r>
      <w:r>
        <w:t xml:space="preserve"> and significant inter-slice gaps (</w:t>
      </w:r>
      <w:r>
        <w:rPr>
          <w:rFonts w:ascii="Cambria Math" w:hAnsi="Cambria Math"/>
          <w:i/>
        </w:rPr>
        <w:t>0.5\text{--}2.0\text{ mm}</w:t>
      </w:r>
      <w:r>
        <w:t>), creating through-plane voxel dimensions 3 to 10 times larger than in-plane resolution (Sorensen, 2006).</w:t>
      </w:r>
    </w:p>
    <w:p>
      <w:pPr>
        <w:pStyle w:val="ListNumber"/>
        <w:spacing w:before="20" w:after="40"/>
      </w:pPr>
      <w:r>
        <w:rPr>
          <w:b/>
        </w:rPr>
        <w:t>Severe Partial Volume Effects (PVE):</w:t>
      </w:r>
      <w:r>
        <w:t xml:space="preserve"> Large slice-select point-spread functions blur cerebrospinal fluid (CSF), gray matter (GM), and white matter (WM) into shared voxels, obliterating cortical ribbon morphology and thin subcortical boundaries (Ballester et al., 2000; Tohka, 2014).</w:t>
      </w:r>
    </w:p>
    <w:p>
      <w:pPr>
        <w:pStyle w:val="ListNumber"/>
        <w:spacing w:before="20" w:after="40"/>
      </w:pPr>
      <w:r>
        <w:rPr>
          <w:b/>
        </w:rPr>
        <w:t>Pervasive Gadolinium Contrast Administration:</w:t>
      </w:r>
      <w:r>
        <w:t xml:space="preserve"> In routine neuro-oncology, neuro-infectious workups, and surgical evaluations, scans are frequently acquired post-intravenous gadolinium-based contrast enhancement (+C). Gadolinium shortens T1 relaxation times, selectively hyper-intensifying vascular structures, dura mater, choroid plexus, and inflamed parenchyma, which systematically violates the baseline tissue intensity priors upon which Gaussian mixture models depend (Ghassemi et al., 2020).</w:t>
      </w:r>
    </w:p>
    <w:p>
      <w:pPr>
        <w:pStyle w:val="ListNumber"/>
        <w:spacing w:before="20" w:after="40"/>
      </w:pPr>
      <w:r>
        <w:rPr>
          <w:b/>
        </w:rPr>
        <w:t>Hardware and Vendor Heterogeneity:</w:t>
      </w:r>
      <w:r>
        <w:t xml:space="preserve"> Scanners vary across manufacturers (e.g., GE, Siemens, Canon/Toshiba) and field strengths, ranging from low-field permanent magnet systems (</w:t>
      </w:r>
      <w:r>
        <w:rPr>
          <w:rFonts w:ascii="Cambria Math" w:hAnsi="Cambria Math"/>
          <w:i/>
        </w:rPr>
        <w:t>0.30\text{--}0.35\text{T}</w:t>
      </w:r>
      <w:r>
        <w:t>) to clinical high-field systems (</w:t>
      </w:r>
      <w:r>
        <w:rPr>
          <w:rFonts w:ascii="Cambria Math" w:hAnsi="Cambria Math"/>
          <w:i/>
        </w:rPr>
        <w:t>1.5\text{T}</w:t>
      </w:r>
      <w:r>
        <w:t>), introducing dramatic variations in signal-to-noise ratio (SNR) and magnetic susceptibility (Campbell-Washburn et al., 2019; Marques et al., 2019).</w:t>
      </w:r>
    </w:p>
    <w:p>
      <w:pPr>
        <w:spacing w:before="0" w:after="100" w:line="276" w:lineRule="auto"/>
      </w:pPr>
      <w:r>
        <w:t xml:space="preserve">When conventional volumetric software packages are applied to such routine clinical scans, they exhibit </w:t>
      </w:r>
      <w:r>
        <w:rPr>
          <w:b/>
        </w:rPr>
        <w:t>catastrophic attrition rates</w:t>
      </w:r>
      <w:r>
        <w:t>. Deforming standard stereotaxic templates (e.g., MNI152) onto thick 2D slices causes topological defects, surface self-intersections, and extensive anatomical hallucination (Dewey et al., 2019). In cohorts with severe pathology, such as hydrocephalus, where the ventricular system expands by several hundred percent, standard atlas priors can fail severely in markedly distorted anatomy (in our cohort, FreeSurfer failed QC in 82/82 hydrocephalus scans; Freeborough et al., 1997; Kempton et al., 2011).</w:t>
      </w:r>
    </w:p>
    <w:p>
      <w:pPr>
        <w:spacing w:before="0" w:after="100" w:line="276" w:lineRule="auto"/>
      </w:pPr>
      <w:r>
        <w:t xml:space="preserve">Crucially, in observational clinical archives, acquisition parameters are </w:t>
      </w:r>
      <w:r>
        <w:rPr>
          <w:b/>
        </w:rPr>
        <w:t>non-randomly entangled with patient diagnosis</w:t>
      </w:r>
      <w:r>
        <w:t xml:space="preserve"> (Kostro et al., 2014). Patients presenting with acute intracranial hypertension or suspected hydrocephalus routinely undergo contrast-enhanced 3D protocols, while outpatients presenting with mild cognitive impairment or chronic headache receive unenhanced 2D thick-slice screening. A naive statistical model that pools these data without accounting for acquisition parameters will inevitably mistake technical variance (slice blur and contrast enhancement) for biological pathology—a phenomenon known as technical confounding (Gronenschild et al., 2012; Wonderlick et al., 2009).</w:t>
      </w:r>
    </w:p>
    <w:p>
      <w:pPr>
        <w:spacing w:before="0" w:after="100" w:line="276" w:lineRule="auto"/>
      </w:pPr>
      <w:r>
        <w:t xml:space="preserve">To unlock the massive, untapped wealth of routine hospital archives for computational epidemiology and global neurological health, we must depart from the unrealistic paradigm of high-resolution isotropic morphometry. We must confront the fundamental question: </w:t>
      </w:r>
      <w:r>
        <w:rPr>
          <w:b/>
        </w:rPr>
        <w:t>"What survives the blur?"</w:t>
      </w:r>
    </w:p>
    <w:p>
      <w:pPr>
        <w:spacing w:before="240" w:after="80"/>
      </w:pPr>
      <w:r>
        <w:rPr>
          <w:rFonts w:ascii="Arial" w:hAnsi="Arial"/>
          <w:b/>
          <w:color w:val="1E325A"/>
          <w:sz w:val="24"/>
        </w:rPr>
        <w:t>Conceptual Framework and Hypotheses</w:t>
      </w:r>
    </w:p>
    <w:p>
      <w:pPr>
        <w:spacing w:before="0" w:after="100" w:line="276" w:lineRule="auto"/>
      </w:pPr>
      <w:r>
        <w:t xml:space="preserve">We hypothesize that morphological metrics can be categorized along an </w:t>
      </w:r>
      <w:r>
        <w:rPr>
          <w:b/>
        </w:rPr>
        <w:t>invariance-to-degradation continuum</w:t>
      </w:r>
      <w:r>
        <w:t>:</w:t>
      </w:r>
    </w:p>
    <w:p>
      <w:pPr>
        <w:pStyle w:val="ListBullet"/>
        <w:spacing w:before="20" w:after="40"/>
      </w:pPr>
      <w:r>
        <w:rPr>
          <w:i/>
        </w:rPr>
        <w:t>Hypothesis 1 (In-Plane Geometric Invariance):</w:t>
      </w:r>
      <w:r>
        <w:t xml:space="preserve"> Two-dimensional linear measurements that are oriented purely within the transverse plane of acquisition—such as </w:t>
      </w:r>
      <w:r>
        <w:rPr>
          <w:b/>
        </w:rPr>
        <w:t>Evans' Index</w:t>
      </w:r>
      <w:r>
        <w:t xml:space="preserve"> (the ratio of maximum frontal horn width to maximum internal skull diameter; Evans, 1942)—are topologically decoupled from through-plane slice-select blur. Consequently, they will retain high measurement stability (</w:t>
      </w:r>
      <w:r>
        <w:rPr>
          <w:rFonts w:ascii="Cambria Math" w:hAnsi="Cambria Math"/>
          <w:i/>
        </w:rPr>
        <w:t>&lt;5\%</w:t>
      </w:r>
      <w:r>
        <w:t xml:space="preserve"> relative error) even under severe anisotropic degradation (</w:t>
      </w:r>
      <w:r>
        <w:rPr>
          <w:rFonts w:ascii="Cambria Math" w:hAnsi="Cambria Math"/>
          <w:i/>
        </w:rPr>
        <w:t>5.0\text{--}6.0\text{ mm}</w:t>
      </w:r>
      <w:r>
        <w:t xml:space="preserve"> slice thickness).</w:t>
      </w:r>
    </w:p>
    <w:p>
      <w:pPr>
        <w:pStyle w:val="ListBullet"/>
        <w:spacing w:before="20" w:after="40"/>
      </w:pPr>
      <w:r>
        <w:rPr>
          <w:i/>
        </w:rPr>
        <w:t>Hypothesis 2 (Volumetric Micro-Structure Collapse):</w:t>
      </w:r>
      <w:r>
        <w:t xml:space="preserve"> Three-dimensional boundary-dependent metrics—such as subcortical nuclear segmentations (hippocampus, caudate, thalamus) and ratio-based volumetric indices (Ventricle-to-Brain Ratio; VBR)—depend upon through-plane edge definition and will experience catastrophic degradation (</w:t>
      </w:r>
      <w:r>
        <w:rPr>
          <w:rFonts w:ascii="Cambria Math" w:hAnsi="Cambria Math"/>
          <w:i/>
        </w:rPr>
        <w:t>&gt;40\%</w:t>
      </w:r>
      <w:r>
        <w:t xml:space="preserve"> error) under routine clinical slice thickness.</w:t>
      </w:r>
    </w:p>
    <w:p>
      <w:pPr>
        <w:pStyle w:val="ListBullet"/>
        <w:spacing w:before="20" w:after="40"/>
      </w:pPr>
      <w:r>
        <w:rPr>
          <w:i/>
        </w:rPr>
        <w:t>Hypothesis 3 (Quantifiable Technical Dispersion):</w:t>
      </w:r>
      <w:r>
        <w:t xml:space="preserve"> Measurement variance does not remain constant across protocols, but scales exponentially with slice thickness, while gadolinium contrast introduces an additive positive shift in apparent parenchymal envelope fraction.</w:t>
      </w:r>
    </w:p>
    <w:p>
      <w:pPr>
        <w:pStyle w:val="ListBullet"/>
        <w:spacing w:before="20" w:after="40"/>
      </w:pPr>
      <w:r>
        <w:rPr>
          <w:i/>
        </w:rPr>
        <w:t>Hypothesis 4 (Site-Level Variance Fraction):</w:t>
      </w:r>
      <w:r>
        <w:t xml:space="preserve"> In routine multi-center clinical archives, institutional site clustering (bundling scanner hardware, acquisition protocol variations, operator calibration, and local patient referral patterns) accounts for a substantial proportion of total variance, which can be estimated as a site-level variance component via hierarchical Bayesian variance partitioning.</w:t>
      </w:r>
    </w:p>
    <w:p>
      <w:pPr>
        <w:spacing w:before="240" w:after="80"/>
      </w:pPr>
      <w:r>
        <w:rPr>
          <w:rFonts w:ascii="Arial" w:hAnsi="Arial"/>
          <w:b/>
          <w:color w:val="1E325A"/>
          <w:sz w:val="24"/>
        </w:rPr>
        <w:t>Contributions of this Work</w:t>
      </w:r>
    </w:p>
    <w:p>
      <w:pPr>
        <w:spacing w:before="0" w:after="100" w:line="276" w:lineRule="auto"/>
      </w:pPr>
      <w:r>
        <w:t>To test these hypotheses, this paper presents three core contributions:</w:t>
      </w:r>
    </w:p>
    <w:p>
      <w:pPr>
        <w:pStyle w:val="ListNumber"/>
        <w:spacing w:before="20" w:after="40"/>
      </w:pPr>
      <w:r>
        <w:rPr>
          <w:b/>
        </w:rPr>
        <w:t>A Controlled Synthetic Degradation Lab (Experiment 1):</w:t>
      </w:r>
      <w:r>
        <w:t xml:space="preserve"> We downsample </w:t>
      </w:r>
      <w:r>
        <w:rPr>
          <w:rFonts w:ascii="Cambria Math" w:hAnsi="Cambria Math"/>
          <w:i/>
        </w:rPr>
        <w:t>N=35</w:t>
      </w:r>
      <w:r>
        <w:t xml:space="preserve"> pristine 1.0 mm³ isotropic T1 scans to clinical slice thicknesses (</w:t>
      </w:r>
      <w:r>
        <w:rPr>
          <w:rFonts w:ascii="Cambria Math" w:hAnsi="Cambria Math"/>
          <w:i/>
        </w:rPr>
        <w:t>3.0\text{--}6.0\text{ mm}</w:t>
      </w:r>
      <w:r>
        <w:t>) to construct empirical degradation curves, establishing the exact physical survival threshold for coarse macro-metrics versus classical micro-segmentations.</w:t>
      </w:r>
    </w:p>
    <w:p>
      <w:pPr>
        <w:pStyle w:val="ListNumber"/>
        <w:spacing w:before="20" w:after="40"/>
      </w:pPr>
      <w:r>
        <w:rPr>
          <w:b/>
        </w:rPr>
        <w:t>A Real-World Clinical Feasibility Assessment (Experiment 2):</w:t>
      </w:r>
      <w:r>
        <w:t xml:space="preserve"> We deploy a robust, heuristic-stabilized macro-morphometry extraction engine across </w:t>
      </w:r>
      <w:r>
        <w:rPr>
          <w:rFonts w:ascii="Cambria Math" w:hAnsi="Cambria Math"/>
          <w:i/>
        </w:rPr>
        <w:t>N=218</w:t>
      </w:r>
      <w:r>
        <w:t xml:space="preserve"> multi-site clinical scans from Nigeria, bench-test operational retention directly against FreeSurfer, and fit a multivariate logistic failure model across slice thickness, field strength, and contrast enhancement.</w:t>
      </w:r>
    </w:p>
    <w:p>
      <w:pPr>
        <w:pStyle w:val="ListNumber"/>
        <w:spacing w:before="20" w:after="40"/>
      </w:pPr>
      <w:r>
        <w:rPr>
          <w:b/>
        </w:rPr>
        <w:t>An Uncertainty-Aware Bayesian Hierarchical Model (Experiment 3):</w:t>
      </w:r>
      <w:r>
        <w:t xml:space="preserve"> We formulate a fully generative MCMC hierarchical model in PyMC 5.12 using Hamiltonian Monte Carlo (NUTS) incorporating heteroskedastic exponential noise dispersion (</w:t>
      </w:r>
      <w:r>
        <w:rPr>
          <w:rFonts w:ascii="Cambria Math" w:hAnsi="Cambria Math"/>
          <w:i/>
        </w:rPr>
        <w:t>\sigma_i = \sigma_0 \exp(\lambda [h_i - 1])</w:t>
      </w:r>
      <w:r>
        <w:t>), contrast adjustment (</w:t>
      </w:r>
      <w:r>
        <w:rPr>
          <w:rFonts w:ascii="Cambria Math" w:hAnsi="Cambria Math"/>
          <w:i/>
        </w:rPr>
        <w:t>\delta</w:t>
      </w:r>
      <w:r>
        <w:t>), and site-level partial pooling (</w:t>
      </w:r>
      <w:r>
        <w:rPr>
          <w:rFonts w:ascii="Cambria Math" w:hAnsi="Cambria Math"/>
          <w:i/>
        </w:rPr>
        <w:t>\gamma_s</w:t>
      </w:r>
      <w:r>
        <w:t>). We benchmark this model against naive and covariate-adjusted OLS regressions and evaluate its inferential stability through rigorous sensitivity testing (contrast exclusion and site pruning).</w:t>
      </w:r>
    </w:p>
    <w:p>
      <w:pPr>
        <w:spacing w:before="120" w:after="120" w:line="120" w:lineRule="auto"/>
      </w:pPr>
      <w:r>
        <w:rPr>
          <w:color w:val="C8C8C8"/>
        </w:rPr>
        <w:t>―――――――――――――――――――――――――――――――――――――――――――――</w:t>
      </w:r>
    </w:p>
    <w:p>
      <w:pPr>
        <w:spacing w:before="320" w:after="120"/>
      </w:pPr>
      <w:r>
        <w:rPr>
          <w:rFonts w:ascii="Arial" w:hAnsi="Arial"/>
          <w:b/>
          <w:color w:val="142D50"/>
          <w:sz w:val="28"/>
        </w:rPr>
        <w:t>2. Materials and Methods</w:t>
      </w:r>
    </w:p>
    <w:p>
      <w:pPr>
        <w:spacing w:before="240" w:after="80"/>
      </w:pPr>
      <w:r>
        <w:rPr>
          <w:rFonts w:ascii="Arial" w:hAnsi="Arial"/>
          <w:b/>
          <w:color w:val="1E325A"/>
          <w:sz w:val="24"/>
        </w:rPr>
        <w:t>2.1 Clinical Cohort &amp; Multi-Center Acquisition Matrix</w:t>
      </w:r>
    </w:p>
    <w:p>
      <w:pPr>
        <w:spacing w:before="0" w:after="100" w:line="276" w:lineRule="auto"/>
      </w:pPr>
      <w:r>
        <w:t xml:space="preserve">The clinical cohort for this study comprises </w:t>
      </w:r>
      <w:r>
        <w:rPr>
          <w:rFonts w:ascii="Cambria Math" w:hAnsi="Cambria Math"/>
          <w:i/>
        </w:rPr>
        <w:t>N = 218</w:t>
      </w:r>
      <w:r>
        <w:t xml:space="preserve"> cranial MRI scans retrospectively curated from six tertiary and secondary healthcare institutions across three geopolitical zones of Nigeria (South-South, North-West, and North-Central). Scans span five distinct clinical diagnostic categories assigned by board-certified consultant radiologists and neurologists based on clinical presentation, neuropsychological evaluation, and diagnostic imaging:</w:t>
      </w:r>
    </w:p>
    <w:p>
      <w:pPr>
        <w:pStyle w:val="ListBullet"/>
        <w:spacing w:before="20" w:after="40"/>
      </w:pPr>
      <w:r>
        <w:rPr>
          <w:b/>
        </w:rPr>
        <w:t>Healthy Controls (CONTROL, $N = 63$):</w:t>
      </w:r>
      <w:r>
        <w:t xml:space="preserve"> Individuals presenting with acute headache, non-specific dizziness, or systemic workups whose cranial MRI was formally reported as radiologically normal without intracranial pathology, space-occupying lesions, or focal encephalomalacia.</w:t>
      </w:r>
    </w:p>
    <w:p>
      <w:pPr>
        <w:pStyle w:val="ListBullet"/>
        <w:spacing w:before="20" w:after="40"/>
      </w:pPr>
      <w:r>
        <w:rPr>
          <w:b/>
        </w:rPr>
        <w:t>Dementia / Cognitive Impairment (DEMENTIA, $N = 45$):</w:t>
      </w:r>
      <w:r>
        <w:t xml:space="preserve"> Patients presenting with progressive neurodegenerative cognitive decline, clinically diagnosed with Alzheimer's disease, vascular dementia, or mixed dementia.</w:t>
      </w:r>
    </w:p>
    <w:p>
      <w:pPr>
        <w:pStyle w:val="ListBullet"/>
        <w:spacing w:before="20" w:after="40"/>
      </w:pPr>
      <w:r>
        <w:rPr>
          <w:b/>
        </w:rPr>
        <w:t>Epilepsy (EPILEPSY, $N = 7$):</w:t>
      </w:r>
      <w:r>
        <w:t xml:space="preserve"> Patients undergoing structural evaluation for intractable seizure disorders or focal epilepsy.</w:t>
      </w:r>
    </w:p>
    <w:p>
      <w:pPr>
        <w:pStyle w:val="ListBullet"/>
        <w:spacing w:before="20" w:after="40"/>
      </w:pPr>
      <w:r>
        <w:rPr>
          <w:b/>
        </w:rPr>
        <w:t>Hydrocephalus (HYDROCEPHALUS, $N = 82$):</w:t>
      </w:r>
      <w:r>
        <w:t xml:space="preserve"> Adult and pediatric patients presenting with communicating or non-communicating ventriculomegaly, normal pressure hydrocephalus (NPH), or obstructive lesions requiring shunt assessment (</w:t>
      </w:r>
      <w:r>
        <w:rPr>
          <w:i/>
        </w:rPr>
        <w:t>a priori high-detectability structural phenotype</w:t>
      </w:r>
      <w:r>
        <w:t>).</w:t>
      </w:r>
    </w:p>
    <w:p>
      <w:pPr>
        <w:pStyle w:val="ListBullet"/>
        <w:spacing w:before="20" w:after="40"/>
      </w:pPr>
      <w:r>
        <w:rPr>
          <w:b/>
        </w:rPr>
        <w:t>Parkinson's Disease (PARKINSON, $N = 21$):</w:t>
      </w:r>
      <w:r>
        <w:t xml:space="preserve"> Patients clinically diagnosed with idiopathic Parkinson's disease presenting with resting tremor, bradykinesia, and postural instability (</w:t>
      </w:r>
      <w:r>
        <w:rPr>
          <w:i/>
        </w:rPr>
        <w:t>a priori low-detectability macro-structural phenotype</w:t>
      </w:r>
      <w:r>
        <w:t>).</w:t>
      </w:r>
    </w:p>
    <w:p>
      <w:pPr>
        <w:spacing w:before="0" w:after="100" w:line="276" w:lineRule="auto"/>
      </w:pPr>
      <w:r>
        <w:rPr>
          <w:i/>
        </w:rPr>
        <w:t>Demographic Anonymization &amp; Clinical Archival Realities:</w:t>
      </w:r>
      <w:r>
        <w:t xml:space="preserve"> Under institutional ethics guidelines and HIPAA/GDPR de-identification protocols across participating Nigerian centers, patient identifiers—including numerical age and biological sex—were stripped during initial DICOM sanitization or were inconsistently entered across legacy console archives. Consequently, individual-level age and sex covariates could not be modeled in the primary mean structure, and the hydrocephalus cohort necessarily pools pediatric and adult presentations. The methodological and inferential ramifications of demographic missingness and developmental heterogeneity are addressed transparently as study limitations in Section 4.7.</w:t>
      </w:r>
    </w:p>
    <w:p>
      <w:pPr>
        <w:spacing w:before="120" w:after="120" w:line="252" w:lineRule="auto"/>
      </w:pPr>
      <w:r>
        <w:rPr>
          <w:rFonts w:ascii="Consolas" w:hAnsi="Consolas"/>
          <w:color w:val="282828"/>
          <w:sz w:val="16"/>
        </w:rPr>
        <w:t>┌────────────────────────────────────────────────────────────────────────────────────────┐</w:t>
        <w:br/>
        <w:t>│                               NIGERIAN CLINICAL MRI CONSORTIUM                          │</w:t>
        <w:br/>
        <w:t>├─────────────────┬─────────────────────────────────┬──────────────┬──────┬──────────────┤</w:t>
        <w:br/>
        <w:t>│ Canonical Site  │ Institution Name                │ Location     │ N    │ Field / Type │</w:t>
        <w:br/>
        <w:t>├─────────────────┼─────────────────────────────────┼──────────────┼──────┼──────────────┤</w:t>
        <w:br/>
        <w:t>│ RSUTH           │ Rivers State Univ. Teaching Hosp│ Port Harcourt│ 85   │ 1.5T (GE)    │</w:t>
        <w:br/>
        <w:t>│ UPTH            │ Univ. of Port Harcourt Teach. H.│ Port Harcourt│ 42   │ 1.5T (Siemens│</w:t>
        <w:br/>
        <w:t>│ IDC             │ Intercontinental Diagnostic Ctr │ Port Harcourt│ 38   │ 0.30T (Perm) │</w:t>
        <w:br/>
        <w:t>│ AKTH_NKDC       │ Aminu Kano / National Kidney Ctr│ Kano (NW)    │ 21   │ 1.5T (Siemens│</w:t>
        <w:br/>
        <w:t>│ BMH             │ Braithwaite Memorial Spec. Hosp │ Port Harcourt│ 16   │ 1.5T (GE)    │</w:t>
        <w:br/>
        <w:t>│ LifeBridge      │ Life Bridge Medical Diagnostics │ Abuja (NC)   │ 16   │ 0.35T / 1.5T │</w:t>
        <w:br/>
        <w:t>├─────────────────┼─────────────────────────────────┼──────────────┼──────┼──────────────┤</w:t>
        <w:br/>
        <w:t>│ **Total**       │ **6 Participating Institutions**│ **3 Zones**  │**218**│**0.30T-1.5T**│</w:t>
        <w:br/>
        <w:t>└─────────────────┴─────────────────────────────────┴──────────────┴──────┴──────────────┘</w:t>
      </w:r>
    </w:p>
    <w:p>
      <w:pPr>
        <w:spacing w:before="160" w:after="60"/>
      </w:pPr>
      <w:r>
        <w:rPr>
          <w:rFonts w:ascii="Arial" w:hAnsi="Arial"/>
          <w:b/>
          <w:color w:val="283C64"/>
          <w:sz w:val="22"/>
        </w:rPr>
        <w:t>Observational Covariate Confounding Matrix</w:t>
      </w:r>
    </w:p>
    <w:p>
      <w:pPr>
        <w:spacing w:before="0" w:after="100" w:line="276" w:lineRule="auto"/>
      </w:pPr>
      <w:r>
        <w:t>A critical feature of real-world clinical neuroimaging archives is that acquisition parameters are intrinsically non-random. Table 1 cross-tabulates diagnostic group against sequence dimensionality, slice thickness, and gadolinium administration.</w:t>
      </w:r>
    </w:p>
    <w:p>
      <w:pPr>
        <w:spacing w:before="120" w:after="120" w:line="252" w:lineRule="auto"/>
      </w:pPr>
      <w:r>
        <w:rPr>
          <w:rFonts w:ascii="Consolas" w:hAnsi="Consolas"/>
          <w:color w:val="282828"/>
          <w:sz w:val="16"/>
        </w:rPr>
        <w:t>Table 1: Clinical Diagnosis vs. Acquisition Parameter Cross-Tabulation Matrix (N=218)</w:t>
        <w:br/>
        <w:t>┌─────────────────┬───────────────────┬───────────────────┬─────────────────────────────┐</w:t>
        <w:br/>
        <w:t>│ Diagnostic Group│ Contrast Enhanced │ Sequence Type     │ Slice Thickness (mm)        │</w:t>
        <w:br/>
        <w:t>│                 │ (False / True)    │ (2D / 3D)         │ Min  -  Median  -  Max      │</w:t>
        <w:br/>
        <w:t>├─────────────────┼───────────────────┼───────────────────┼─────────────────────────────┤</w:t>
        <w:br/>
        <w:t>│ CONTROL (N=63)  │ 59 False / 4 True │ 62 2D / 1 3D      │ 1.4 mm – 5.0 mm – 6.0 mm    │</w:t>
        <w:br/>
        <w:t>│ DEMENTIA (N=45) │ 30 False / 15 True│ 40 2D / 5 3D      │ 1.0 mm – 5.0 mm – 6.0 mm    │</w:t>
        <w:br/>
        <w:t>│ EPILEPSY (N=7)  │ 1 False / 6 True  │ 1 2D / 6 3D       │ 1.0 mm – 1.0 mm – 5.0 mm    │</w:t>
        <w:br/>
        <w:t>│ HYDROCEPHALUS   │ 20 False / 62 True│ 59 2D / 23 3D     │ 1.0 mm – 5.0 mm – 10.0 mm   │</w:t>
        <w:br/>
        <w:t>│   (N=82)        │ (75.6% +C)        │ (28.0% 3D)        │                             │</w:t>
        <w:br/>
        <w:t>│ PARKINSON (N=21)│ 16 False / 5 True │ 21 2D / 0 3D      │ 4.0 mm – 5.0 mm – 5.0 mm    │</w:t>
        <w:br/>
        <w:t>└─────────────────┴───────────────────┴───────────────────┴─────────────────────────────┘</w:t>
      </w:r>
    </w:p>
    <w:p>
      <w:pPr>
        <w:spacing w:before="0" w:after="100" w:line="276" w:lineRule="auto"/>
      </w:pPr>
      <w:r>
        <w:t>Notice the structural identifiability challenge:</w:t>
      </w:r>
    </w:p>
    <w:p>
      <w:pPr>
        <w:pStyle w:val="ListBullet"/>
        <w:spacing w:before="20" w:after="40"/>
      </w:pPr>
      <w:r>
        <w:rPr>
          <w:b/>
        </w:rPr>
        <w:t>Diagnosis $\leftrightarrow$ Contrast:</w:t>
      </w:r>
      <w:r>
        <w:t xml:space="preserve"> </w:t>
      </w:r>
      <w:r>
        <w:rPr>
          <w:rFonts w:ascii="Cambria Math" w:hAnsi="Cambria Math"/>
          <w:i/>
        </w:rPr>
        <w:t>75.6\%</w:t>
      </w:r>
      <w:r>
        <w:t xml:space="preserve"> (</w:t>
      </w:r>
      <w:r>
        <w:rPr>
          <w:rFonts w:ascii="Cambria Math" w:hAnsi="Cambria Math"/>
          <w:i/>
        </w:rPr>
        <w:t>62/82</w:t>
      </w:r>
      <w:r>
        <w:t xml:space="preserve">) of Hydrocephalus patients received intravenous contrast for surgical planning, whereas </w:t>
      </w:r>
      <w:r>
        <w:rPr>
          <w:rFonts w:ascii="Cambria Math" w:hAnsi="Cambria Math"/>
          <w:i/>
        </w:rPr>
        <w:t>93.7\%</w:t>
      </w:r>
      <w:r>
        <w:t xml:space="preserve"> (</w:t>
      </w:r>
      <w:r>
        <w:rPr>
          <w:rFonts w:ascii="Cambria Math" w:hAnsi="Cambria Math"/>
          <w:i/>
        </w:rPr>
        <w:t>59/63</w:t>
      </w:r>
      <w:r>
        <w:t>) of Healthy Controls were unenhanced.</w:t>
      </w:r>
    </w:p>
    <w:p>
      <w:pPr>
        <w:pStyle w:val="ListBullet"/>
        <w:spacing w:before="20" w:after="40"/>
      </w:pPr>
      <w:r>
        <w:rPr>
          <w:b/>
        </w:rPr>
        <w:t>Diagnosis $\leftrightarrow$ Site:</w:t>
      </w:r>
      <w:r>
        <w:t xml:space="preserve"> Epilepsy scans were acquired almost exclusively at UPTH (</w:t>
      </w:r>
      <w:r>
        <w:rPr>
          <w:rFonts w:ascii="Cambria Math" w:hAnsi="Cambria Math"/>
          <w:i/>
        </w:rPr>
        <w:t>7/7</w:t>
      </w:r>
      <w:r>
        <w:t>), utilizing specialized high-resolution 1.0 mm 3D sequences.</w:t>
      </w:r>
    </w:p>
    <w:p>
      <w:pPr>
        <w:pStyle w:val="ListBullet"/>
        <w:spacing w:before="20" w:after="40"/>
      </w:pPr>
      <w:r>
        <w:rPr>
          <w:b/>
        </w:rPr>
        <w:t>Diagnosis $\leftrightarrow$ Slice Thickness:</w:t>
      </w:r>
      <w:r>
        <w:t xml:space="preserve"> Parkinson's Disease was evaluated exclusively with thick 2D axial cuts (median </w:t>
      </w:r>
      <w:r>
        <w:rPr>
          <w:rFonts w:ascii="Cambria Math" w:hAnsi="Cambria Math"/>
          <w:i/>
        </w:rPr>
        <w:t>5.0\text{ mm}</w:t>
      </w:r>
      <w:r>
        <w:t xml:space="preserve">, range </w:t>
      </w:r>
      <w:r>
        <w:rPr>
          <w:rFonts w:ascii="Cambria Math" w:hAnsi="Cambria Math"/>
          <w:i/>
        </w:rPr>
        <w:t>4.0\text{--}5.0\text{ mm}</w:t>
      </w:r>
      <w:r>
        <w:t>).</w:t>
      </w:r>
    </w:p>
    <w:p>
      <w:pPr>
        <w:spacing w:before="240" w:after="80"/>
      </w:pPr>
      <w:r>
        <w:rPr>
          <w:rFonts w:ascii="Arial" w:hAnsi="Arial"/>
          <w:b/>
          <w:color w:val="1E325A"/>
          <w:sz w:val="24"/>
        </w:rPr>
        <w:t>2.2 Data Standardization &amp; BIDS Harmonization</w:t>
      </w:r>
    </w:p>
    <w:p>
      <w:pPr>
        <w:spacing w:before="0" w:after="100" w:line="276" w:lineRule="auto"/>
      </w:pPr>
      <w:r>
        <w:t>All raw clinical DICOM images were converted into NIfTI-1 format and curated into an automated Brain Imaging Data Structure (BIDS v1.10.0; Gorgolewski et al., 2016) hierarchy using a custom conversion pipeline. Metadata headers were parsed to extract canonical acquisition parameters: magnetic field strength (</w:t>
      </w:r>
      <w:r>
        <w:rPr>
          <w:rFonts w:ascii="Cambria Math" w:hAnsi="Cambria Math"/>
          <w:i/>
        </w:rPr>
        <w:t>B_0</w:t>
      </w:r>
      <w:r>
        <w:t>), repetition time (</w:t>
      </w:r>
      <w:r>
        <w:rPr>
          <w:rFonts w:ascii="Cambria Math" w:hAnsi="Cambria Math"/>
          <w:i/>
        </w:rPr>
        <w:t>T_R</w:t>
      </w:r>
      <w:r>
        <w:t>), echo time (</w:t>
      </w:r>
      <w:r>
        <w:rPr>
          <w:rFonts w:ascii="Cambria Math" w:hAnsi="Cambria Math"/>
          <w:i/>
        </w:rPr>
        <w:t>T_E</w:t>
      </w:r>
      <w:r>
        <w:t>), slice thickness (</w:t>
      </w:r>
      <w:r>
        <w:rPr>
          <w:rFonts w:ascii="Cambria Math" w:hAnsi="Cambria Math"/>
          <w:i/>
        </w:rPr>
        <w:t>h</w:t>
      </w:r>
      <w:r>
        <w:t>), inter-slice gap, pixel spacing (</w:t>
      </w:r>
      <w:r>
        <w:rPr>
          <w:rFonts w:ascii="Cambria Math" w:hAnsi="Cambria Math"/>
          <w:i/>
        </w:rPr>
        <w:t>\Delta x, \Delta y</w:t>
      </w:r>
      <w:r>
        <w:t>), acquisition matrix, and reconstruction matrix.</w:t>
      </w:r>
    </w:p>
    <w:p>
      <w:pPr>
        <w:spacing w:before="0" w:after="100" w:line="276" w:lineRule="auto"/>
      </w:pPr>
      <w:r>
        <w:t xml:space="preserve">Each scan was evaluated by an automated quality audit that distinguished full volumetric cranial series from low-resolution 2D localizer/scout scans. Scans with fewer than 10 slices or field-of-view coverage </w:t>
      </w:r>
      <w:r>
        <w:rPr>
          <w:rFonts w:ascii="Cambria Math" w:hAnsi="Cambria Math"/>
          <w:i/>
        </w:rPr>
        <w:t>&lt;100\text{ mm}</w:t>
      </w:r>
      <w:r>
        <w:t xml:space="preserve"> along the z-axis were classified as invalid scout scans and quarantined. Out of the 218 archive entries, </w:t>
      </w:r>
      <w:r>
        <w:rPr>
          <w:b/>
        </w:rPr>
        <w:t>209 scans were verified as valid volumetric series</w:t>
      </w:r>
      <w:r>
        <w:t>, and 9 were flagged as scouts.</w:t>
      </w:r>
    </w:p>
    <w:p>
      <w:pPr>
        <w:spacing w:before="240" w:after="80"/>
      </w:pPr>
      <w:r>
        <w:rPr>
          <w:rFonts w:ascii="Arial" w:hAnsi="Arial"/>
          <w:b/>
          <w:color w:val="1E325A"/>
          <w:sz w:val="24"/>
        </w:rPr>
        <w:t>2.3 Macro-Morphometric Feature Extraction Pipeline</w:t>
      </w:r>
    </w:p>
    <w:p>
      <w:pPr>
        <w:spacing w:before="0" w:after="100" w:line="276" w:lineRule="auto"/>
      </w:pPr>
      <w:r>
        <w:t>Given the failure of deformable boundary models on thick-slice acquisitions, we constructed a specialized, heuristic-stabilized macro-morphometry engine operating directly on native-space 2D/3D T1-weighted volumes. The engine extracts four primary morphometric indices:</w:t>
      </w:r>
    </w:p>
    <w:p>
      <w:pPr>
        <w:spacing w:before="160" w:after="60"/>
      </w:pPr>
      <w:r>
        <w:rPr>
          <w:rFonts w:ascii="Arial" w:hAnsi="Arial"/>
          <w:b/>
          <w:color w:val="283C64"/>
          <w:sz w:val="22"/>
        </w:rPr>
        <w:t>2.3.1 Evans' Index (In-Plane Ventriculomegaly Metric &amp; Radiological Caliper Formulation)</w:t>
      </w:r>
    </w:p>
    <w:p>
      <w:pPr>
        <w:spacing w:before="0" w:after="100" w:line="276" w:lineRule="auto"/>
      </w:pPr>
      <w:r>
        <w:t>Evans' index (</w:t>
      </w:r>
      <w:r>
        <w:rPr>
          <w:rFonts w:ascii="Cambria Math" w:hAnsi="Cambria Math"/>
          <w:i/>
        </w:rPr>
        <w:t>EI</w:t>
      </w:r>
      <w:r>
        <w:t>) is defined as the ratio of the maximum transverse diameter of the frontal horns of the lateral ventricles to the maximum internal diameter of the skull measured at the same trans-axial cranial level (Evans, 1942; Relkin et al., 2005):</w:t>
      </w:r>
    </w:p>
    <w:p>
      <w:pPr>
        <w:spacing w:before="120" w:after="120"/>
        <w:jc w:val="center"/>
      </w:pPr>
      <w:r>
        <w:rPr>
          <w:rFonts w:ascii="Cambria Math" w:hAnsi="Cambria Math"/>
          <w:i/>
          <w:sz w:val="23"/>
        </w:rPr>
        <w:t>EI = \frac{D_{\text{frontal horns}}}{D_{\text{inner skull}}}</w:t>
      </w:r>
    </w:p>
    <w:p>
      <w:pPr>
        <w:spacing w:before="0" w:after="100" w:line="276" w:lineRule="auto"/>
      </w:pPr>
      <w:r>
        <w:t xml:space="preserve">In healthy adults, </w:t>
      </w:r>
      <w:r>
        <w:rPr>
          <w:rFonts w:ascii="Cambria Math" w:hAnsi="Cambria Math"/>
          <w:i/>
        </w:rPr>
        <w:t>EI</w:t>
      </w:r>
      <w:r>
        <w:t xml:space="preserve"> typically ranges between </w:t>
      </w:r>
      <w:r>
        <w:rPr>
          <w:rFonts w:ascii="Cambria Math" w:hAnsi="Cambria Math"/>
          <w:i/>
        </w:rPr>
        <w:t>0.20</w:t>
      </w:r>
      <w:r>
        <w:t xml:space="preserve"> and </w:t>
      </w:r>
      <w:r>
        <w:rPr>
          <w:rFonts w:ascii="Cambria Math" w:hAnsi="Cambria Math"/>
          <w:i/>
        </w:rPr>
        <w:t>0.29</w:t>
      </w:r>
      <w:r>
        <w:t xml:space="preserve">; a value </w:t>
      </w:r>
      <w:r>
        <w:rPr>
          <w:rFonts w:ascii="Cambria Math" w:hAnsi="Cambria Math"/>
          <w:i/>
        </w:rPr>
        <w:t>EI &gt; 0.30</w:t>
      </w:r>
      <w:r>
        <w:t xml:space="preserve"> is the standard clinical threshold for ventriculomegaly and Normal Pressure Hydrocephalus (NPH). </w:t>
      </w:r>
    </w:p>
    <w:p>
      <w:pPr>
        <w:spacing w:before="0" w:after="100" w:line="276" w:lineRule="auto"/>
      </w:pPr>
      <w:r>
        <w:rPr>
          <w:i/>
        </w:rPr>
        <w:t>Algorithmic Implementation &amp; Neuroradiological Grounding:</w:t>
      </w:r>
      <w:r>
        <w:t xml:space="preserve"> To mirror manual radiological caliper placement, the automated engine computes horizontal profile projections across all axial slices intersecting the mid-ventricular cavity (</w:t>
      </w:r>
      <w:r>
        <w:rPr>
          <w:rFonts w:ascii="Cambria Math" w:hAnsi="Cambria Math"/>
          <w:i/>
        </w:rPr>
        <w:t>35\%\text{--}65\%</w:t>
      </w:r>
      <w:r>
        <w:t xml:space="preserve"> of craniocaudal brain height). For candidate slices, the intracranial skull cavity is segmented using Otsu intensity thresholding coupled with morphological hole filling, yielding inner skull width </w:t>
      </w:r>
      <w:r>
        <w:rPr>
          <w:rFonts w:ascii="Cambria Math" w:hAnsi="Cambria Math"/>
          <w:i/>
        </w:rPr>
        <w:t>D_{\text{inner skull}}(z)</w:t>
      </w:r>
      <w:r>
        <w:t xml:space="preserve">. Bilateral frontal horn contours are identified via regional intensity valleys bounded by the caudate nuclei, measuring </w:t>
      </w:r>
      <w:r>
        <w:rPr>
          <w:rFonts w:ascii="Cambria Math" w:hAnsi="Cambria Math"/>
          <w:i/>
        </w:rPr>
        <w:t>D_{\text{frontal horns}}(z)</w:t>
      </w:r>
      <w:r>
        <w:t>. The slice maximizing the ventricular span while satisfying anatomical symmetry constraints is selected. While this automated caliper method provides highly reproducible geometric ratios decoupled from slice blur, clinical translation requires validation against human radiologist measurements, as discussed in Section 4.</w:t>
      </w:r>
    </w:p>
    <w:p>
      <w:pPr>
        <w:spacing w:before="160" w:after="60"/>
      </w:pPr>
      <w:r>
        <w:rPr>
          <w:rFonts w:ascii="Arial" w:hAnsi="Arial"/>
          <w:b/>
          <w:color w:val="283C64"/>
          <w:sz w:val="22"/>
        </w:rPr>
        <w:t>2.3.2 Parenchymal Envelope Fraction (PEF; Heuristic Morphological Envelope Ratio)</w:t>
      </w:r>
    </w:p>
    <w:p>
      <w:pPr>
        <w:spacing w:before="0" w:after="100" w:line="276" w:lineRule="auto"/>
      </w:pPr>
      <w:r>
        <w:t xml:space="preserve">To evaluate global cerebral volume retention relative to intracranial capacity on clinical thick-slice scans, we implemented a heuristic morphological envelope ratio, designated as </w:t>
      </w:r>
      <w:r>
        <w:rPr>
          <w:b/>
        </w:rPr>
        <w:t>Parenchymal Envelope Fraction (PEF)</w:t>
      </w:r>
      <w:r>
        <w:t>:</w:t>
      </w:r>
    </w:p>
    <w:p>
      <w:pPr>
        <w:spacing w:before="120" w:after="120"/>
        <w:jc w:val="center"/>
      </w:pPr>
      <w:r>
        <w:rPr>
          <w:rFonts w:ascii="Cambria Math" w:hAnsi="Cambria Math"/>
          <w:i/>
          <w:sz w:val="23"/>
        </w:rPr>
        <w:t>PEF = \frac{V_{\text{parenchymal envelope}}}{V_{\text{cranial envelope}}}</w:t>
      </w:r>
    </w:p>
    <w:p>
      <w:pPr>
        <w:spacing w:before="0" w:after="100" w:line="276" w:lineRule="auto"/>
      </w:pPr>
      <w:r>
        <w:rPr>
          <w:i/>
        </w:rPr>
        <w:t>Heuristic Implementation vs. Classical GMM Segmentation:</w:t>
      </w:r>
      <w:r>
        <w:t xml:space="preserve"> In classical research morphometry, Brain Parenchymal Fraction (BPF) is computed via 3-class Gaussian Mixture Modeling (GMM) with partial-volume modeling to classify voxels into GM, WM, and CSF (</w:t>
      </w:r>
      <w:r>
        <w:rPr>
          <w:rFonts w:ascii="Cambria Math" w:hAnsi="Cambria Math"/>
          <w:i/>
        </w:rPr>
        <w:t>BPF = [V_{\text{GM}} + V_{\text{WM}}] / [V_{\text{GM}} + V_{\text{WM}} + V_{\text{CSF}}]</w:t>
      </w:r>
      <w:r>
        <w:t>). In routine 2D clinical scans (</w:t>
      </w:r>
      <w:r>
        <w:rPr>
          <w:rFonts w:ascii="Cambria Math" w:hAnsi="Cambria Math"/>
          <w:i/>
        </w:rPr>
        <w:t>3.0\text{--}6.0\text{ mm}</w:t>
      </w:r>
      <w:r>
        <w:t>), through-plane partial volume averaging, non-uniform B1 field bias, and lack of slice-gap interpolation prevent reliable 3-tissue Gaussian deconvolution. Instead, our engine segments the brain parenchymal envelope via adaptive intensity thresholding and largest-connected-component extraction (</w:t>
      </w:r>
      <w:r>
        <w:rPr>
          <w:rFonts w:ascii="Cambria Math" w:hAnsi="Cambria Math"/>
          <w:i/>
        </w:rPr>
        <w:t>V_{\text{parenchymal envelope}}</w:t>
      </w:r>
      <w:r>
        <w:t xml:space="preserve">), and derives the intracranial envelope via morphological binary dilation (iterations=2; </w:t>
      </w:r>
      <w:r>
        <w:rPr>
          <w:rFonts w:ascii="Cambria Math" w:hAnsi="Cambria Math"/>
          <w:i/>
        </w:rPr>
        <w:t>V_{\text{cranial envelope}}</w:t>
      </w:r>
      <w:r>
        <w:t>). Consequently, PEF represents an empirical envelope ratio rather than an atlas-calibrated volumetric parenchymal fraction. As detailed in Section 4, raw envelope volumes in thick-slice series operate as upper-bound geometric proxies rather than exact adult anatomical parenchymal volumes.</w:t>
      </w:r>
    </w:p>
    <w:p>
      <w:pPr>
        <w:spacing w:before="160" w:after="60"/>
      </w:pPr>
      <w:r>
        <w:rPr>
          <w:rFonts w:ascii="Arial" w:hAnsi="Arial"/>
          <w:b/>
          <w:color w:val="283C64"/>
          <w:sz w:val="22"/>
        </w:rPr>
        <w:t>2.3.3 Ventricle-to-Brain Ratio (VBR)</w:t>
      </w:r>
    </w:p>
    <w:p>
      <w:pPr>
        <w:spacing w:before="0" w:after="100" w:line="276" w:lineRule="auto"/>
      </w:pPr>
      <w:r>
        <w:t>VBR provides a 3D volumetric metric of central ventricular expansion relative to total parenchymal volume (Synek &amp; Reuben, 1976):</w:t>
      </w:r>
    </w:p>
    <w:p>
      <w:pPr>
        <w:spacing w:before="120" w:after="120"/>
        <w:jc w:val="center"/>
      </w:pPr>
      <w:r>
        <w:rPr>
          <w:rFonts w:ascii="Cambria Math" w:hAnsi="Cambria Math"/>
          <w:i/>
          <w:sz w:val="23"/>
        </w:rPr>
        <w:t>VBR = \frac{V_{\text{ventricles}}}{V_{\text{brain}}}</w:t>
      </w:r>
    </w:p>
    <w:p>
      <w:pPr>
        <w:spacing w:before="0" w:after="100" w:line="276" w:lineRule="auto"/>
      </w:pPr>
      <w:r>
        <w:t>Ventricular volume is segmented using connected-component region growing seeded within the low-intensity core of the lateral ventricles on central axial slices, constrained by an anatomically bounded bounding box.</w:t>
      </w:r>
    </w:p>
    <w:p>
      <w:pPr>
        <w:spacing w:before="160" w:after="60"/>
      </w:pPr>
      <w:r>
        <w:rPr>
          <w:rFonts w:ascii="Arial" w:hAnsi="Arial"/>
          <w:b/>
          <w:color w:val="283C64"/>
          <w:sz w:val="22"/>
        </w:rPr>
        <w:t>2.3.4 Hemispheric Asymmetry Index (HAI)</w:t>
      </w:r>
    </w:p>
    <w:p>
      <w:pPr>
        <w:spacing w:before="0" w:after="100" w:line="276" w:lineRule="auto"/>
      </w:pPr>
      <w:r>
        <w:t>To detect lateralized atrophy or asymmetrical ventricular dilatation, the mid-sagittal plane is identified by minimizing cross-hemispheric intensity divergence. Volumes for the left (</w:t>
      </w:r>
      <w:r>
        <w:rPr>
          <w:rFonts w:ascii="Cambria Math" w:hAnsi="Cambria Math"/>
          <w:i/>
        </w:rPr>
        <w:t>V_L</w:t>
      </w:r>
      <w:r>
        <w:t>) and right (</w:t>
      </w:r>
      <w:r>
        <w:rPr>
          <w:rFonts w:ascii="Cambria Math" w:hAnsi="Cambria Math"/>
          <w:i/>
        </w:rPr>
        <w:t>V_R</w:t>
      </w:r>
      <w:r>
        <w:t>) cerebral hemispheres are extracted, and the Hemispheric Asymmetry Index is computed as:</w:t>
      </w:r>
    </w:p>
    <w:p>
      <w:pPr>
        <w:spacing w:before="120" w:after="120"/>
        <w:jc w:val="center"/>
      </w:pPr>
      <w:r>
        <w:rPr>
          <w:rFonts w:ascii="Cambria Math" w:hAnsi="Cambria Math"/>
          <w:i/>
          <w:sz w:val="23"/>
        </w:rPr>
        <w:t>HAI = \frac{|V_L - V_R|}{V_L + V_R} \times 100\%</w:t>
      </w:r>
    </w:p>
    <w:p>
      <w:pPr>
        <w:spacing w:before="120" w:after="120" w:line="120" w:lineRule="auto"/>
      </w:pPr>
      <w:r>
        <w:rPr>
          <w:color w:val="C8C8C8"/>
        </w:rPr>
        <w:t>―――――――――――――――――――――――――――――――――――――――――――――</w:t>
      </w:r>
    </w:p>
    <w:p>
      <w:pPr>
        <w:spacing w:before="240" w:after="80"/>
      </w:pPr>
      <w:r>
        <w:rPr>
          <w:rFonts w:ascii="Arial" w:hAnsi="Arial"/>
          <w:b/>
          <w:color w:val="1E325A"/>
          <w:sz w:val="24"/>
        </w:rPr>
        <w:t>2.4 Mathematical Formulation of the Hierarchical Bayesian Framework</w:t>
      </w:r>
    </w:p>
    <w:p>
      <w:pPr>
        <w:spacing w:before="0" w:after="100" w:line="276" w:lineRule="auto"/>
      </w:pPr>
      <w:r>
        <w:t>To draw valid population-level inferences from observational clinical data, we formulate a generative Bayesian hierarchical model that explicitly incorporates heteroskedastic measurement noise, scanner site clustering, and gadolinium contrast shifts.</w:t>
      </w:r>
    </w:p>
    <w:p>
      <w:pPr>
        <w:spacing w:before="240" w:after="80"/>
        <w:jc w:val="center"/>
      </w:pPr>
      <w:r>
        <w:drawing>
          <wp:inline xmlns:a="http://schemas.openxmlformats.org/drawingml/2006/main" xmlns:pic="http://schemas.openxmlformats.org/drawingml/2006/picture">
            <wp:extent cx="5669280" cy="3664368"/>
            <wp:docPr id="1" name="Picture 1"/>
            <wp:cNvGraphicFramePr>
              <a:graphicFrameLocks noChangeAspect="1"/>
            </wp:cNvGraphicFramePr>
            <a:graphic>
              <a:graphicData uri="http://schemas.openxmlformats.org/drawingml/2006/picture">
                <pic:pic>
                  <pic:nvPicPr>
                    <pic:cNvPr id="0" name="figure_dag_model.png"/>
                    <pic:cNvPicPr/>
                  </pic:nvPicPr>
                  <pic:blipFill>
                    <a:blip r:embed="rId9"/>
                    <a:stretch>
                      <a:fillRect/>
                    </a:stretch>
                  </pic:blipFill>
                  <pic:spPr>
                    <a:xfrm>
                      <a:off x="0" y="0"/>
                      <a:ext cx="5669280" cy="3664368"/>
                    </a:xfrm>
                    <a:prstGeom prst="rect"/>
                  </pic:spPr>
                </pic:pic>
              </a:graphicData>
            </a:graphic>
          </wp:inline>
        </w:drawing>
      </w:r>
    </w:p>
    <w:p>
      <w:pPr>
        <w:spacing w:before="40" w:after="280"/>
        <w:jc w:val="center"/>
      </w:pPr>
      <w:r>
        <w:rPr>
          <w:i/>
          <w:color w:val="505050"/>
          <w:sz w:val="19"/>
        </w:rPr>
        <w:t>Figure: Generative Directed Acyclic Graph (DAG) of the Bayesian Hierarchical Framework. The model hierarchically estimates disease-specific morphometric deviations $\beta_d$ and inter-scanner baseline offsets $\gamma_s$ using non-centered parameterizations, while incorporating an explicit gadolinium contrast shift $\delta$ and an exponential heteroskedastic dispersion model $\sigma_i$ that scales measurement error variance as a function of clinical slice thickness.</w:t>
      </w:r>
    </w:p>
    <w:p>
      <w:pPr>
        <w:spacing w:before="160" w:after="60"/>
      </w:pPr>
      <w:r>
        <w:rPr>
          <w:rFonts w:ascii="Arial" w:hAnsi="Arial"/>
          <w:b/>
          <w:color w:val="283C64"/>
          <w:sz w:val="22"/>
        </w:rPr>
        <w:t>Mathematical Specification</w:t>
      </w:r>
    </w:p>
    <w:p>
      <w:pPr>
        <w:spacing w:before="0" w:after="100" w:line="276" w:lineRule="auto"/>
      </w:pPr>
      <w:r>
        <w:t xml:space="preserve">For subject </w:t>
      </w:r>
      <w:r>
        <w:rPr>
          <w:rFonts w:ascii="Cambria Math" w:hAnsi="Cambria Math"/>
          <w:i/>
        </w:rPr>
        <w:t>i \in \{1, \dots, N\}</w:t>
      </w:r>
      <w:r>
        <w:t xml:space="preserve">, let </w:t>
      </w:r>
      <w:r>
        <w:rPr>
          <w:rFonts w:ascii="Cambria Math" w:hAnsi="Cambria Math"/>
          <w:i/>
        </w:rPr>
        <w:t>y_i</w:t>
      </w:r>
      <w:r>
        <w:t xml:space="preserve"> denote the observed morphometric measurement (e.g., </w:t>
      </w:r>
      <w:r>
        <w:rPr>
          <w:rFonts w:ascii="Cambria Math" w:hAnsi="Cambria Math"/>
          <w:i/>
        </w:rPr>
        <w:t>EI</w:t>
      </w:r>
      <w:r>
        <w:t xml:space="preserve">, </w:t>
      </w:r>
      <w:r>
        <w:rPr>
          <w:rFonts w:ascii="Cambria Math" w:hAnsi="Cambria Math"/>
          <w:i/>
        </w:rPr>
        <w:t>PEF</w:t>
      </w:r>
      <w:r>
        <w:t xml:space="preserve">, or </w:t>
      </w:r>
      <w:r>
        <w:rPr>
          <w:rFonts w:ascii="Cambria Math" w:hAnsi="Cambria Math"/>
          <w:i/>
        </w:rPr>
        <w:t>VBR</w:t>
      </w:r>
      <w:r>
        <w:t>). The generative likelihood is formulated as:</w:t>
      </w:r>
    </w:p>
    <w:p>
      <w:pPr>
        <w:spacing w:before="120" w:after="120"/>
        <w:jc w:val="center"/>
      </w:pPr>
      <w:r>
        <w:rPr>
          <w:rFonts w:ascii="Cambria Math" w:hAnsi="Cambria Math"/>
          <w:i/>
          <w:sz w:val="23"/>
        </w:rPr>
        <w:t>y_i \sim \mathcal{N}\left(\mu_i, \sigma_i^2\right)</w:t>
      </w:r>
    </w:p>
    <w:p>
      <w:pPr>
        <w:spacing w:before="0" w:after="100" w:line="276" w:lineRule="auto"/>
      </w:pPr>
      <w:r>
        <w:t xml:space="preserve">The expected value </w:t>
      </w:r>
      <w:r>
        <w:rPr>
          <w:rFonts w:ascii="Cambria Math" w:hAnsi="Cambria Math"/>
          <w:i/>
        </w:rPr>
        <w:t>\mu_i</w:t>
      </w:r>
      <w:r>
        <w:t xml:space="preserve"> is modeled via a linear predictor combining a global baseline, disease group effects, scanner site intercepts, and a contrast covariate:</w:t>
      </w:r>
    </w:p>
    <w:p>
      <w:pPr>
        <w:spacing w:before="120" w:after="120"/>
        <w:jc w:val="center"/>
      </w:pPr>
      <w:r>
        <w:rPr>
          <w:rFonts w:ascii="Cambria Math" w:hAnsi="Cambria Math"/>
          <w:i/>
          <w:sz w:val="23"/>
        </w:rPr>
        <w:t>\mu_i = \alpha + \beta_{\text{diagnosis}[i]} + \gamma_{\text{site}[i]} + \delta \cdot \text{Contrast}_i</w:t>
      </w:r>
    </w:p>
    <w:p>
      <w:pPr>
        <w:spacing w:before="0" w:after="100" w:line="276" w:lineRule="auto"/>
      </w:pPr>
      <w:r>
        <w:t>where:</w:t>
      </w:r>
    </w:p>
    <w:p>
      <w:pPr>
        <w:pStyle w:val="ListBullet"/>
        <w:spacing w:before="20" w:after="40"/>
      </w:pPr>
      <w:r>
        <w:rPr>
          <w:rFonts w:ascii="Cambria Math" w:hAnsi="Cambria Math"/>
          <w:i/>
        </w:rPr>
        <w:t>\alpha \in \mathbb{R}</w:t>
      </w:r>
      <w:r>
        <w:t xml:space="preserve"> is the global population intercept, representing the expected metric value for an unenhanced, 1.0 mm scan of a Healthy Control at a hypothetical average scanner.</w:t>
      </w:r>
    </w:p>
    <w:p>
      <w:pPr>
        <w:pStyle w:val="ListBullet"/>
        <w:spacing w:before="20" w:after="40"/>
      </w:pPr>
      <w:r>
        <w:rPr>
          <w:rFonts w:ascii="Cambria Math" w:hAnsi="Cambria Math"/>
          <w:i/>
        </w:rPr>
        <w:t>\beta_d</w:t>
      </w:r>
      <w:r>
        <w:t xml:space="preserve"> is the disease-specific offset for diagnostic group </w:t>
      </w:r>
      <w:r>
        <w:rPr>
          <w:rFonts w:ascii="Cambria Math" w:hAnsi="Cambria Math"/>
          <w:i/>
        </w:rPr>
        <w:t>d \in \{\text{CONTROL}, \text{DEMENTIA}, \text{EPILEPSY}, \text{HYDROCEPHALUS}, \text{PARKINSON}\}</w:t>
      </w:r>
      <w:r>
        <w:t>. To ensure mathematical identifiability, Healthy Controls are set as the reference baseline:</w:t>
      </w:r>
    </w:p>
    <w:p>
      <w:pPr>
        <w:spacing w:before="120" w:after="120"/>
        <w:jc w:val="center"/>
      </w:pPr>
      <w:r>
        <w:rPr>
          <w:rFonts w:ascii="Cambria Math" w:hAnsi="Cambria Math"/>
          <w:i/>
          <w:sz w:val="23"/>
        </w:rPr>
        <w:t>\beta_{\text{CONTROL}} \equiv 0</w:t>
      </w:r>
    </w:p>
    <w:p>
      <w:pPr>
        <w:pStyle w:val="ListBullet"/>
        <w:spacing w:before="20" w:after="40"/>
      </w:pPr>
      <w:r>
        <w:rPr>
          <w:rFonts w:ascii="Cambria Math" w:hAnsi="Cambria Math"/>
          <w:i/>
        </w:rPr>
        <w:t>\gamma_s</w:t>
      </w:r>
      <w:r>
        <w:t xml:space="preserve"> is the site-specific random intercept for scanner institution </w:t>
      </w:r>
      <w:r>
        <w:rPr>
          <w:rFonts w:ascii="Cambria Math" w:hAnsi="Cambria Math"/>
          <w:i/>
        </w:rPr>
        <w:t>s \in \{1, \dots, S\}</w:t>
      </w:r>
      <w:r>
        <w:t>, capturing systematic calibration offsets, coil sensitivities, and regional contrast variations.</w:t>
      </w:r>
    </w:p>
    <w:p>
      <w:pPr>
        <w:pStyle w:val="ListBullet"/>
        <w:spacing w:before="20" w:after="40"/>
      </w:pPr>
      <w:r>
        <w:rPr>
          <w:rFonts w:ascii="Cambria Math" w:hAnsi="Cambria Math"/>
          <w:i/>
        </w:rPr>
        <w:t>\delta \in \mathbb{R}</w:t>
      </w:r>
      <w:r>
        <w:t xml:space="preserve"> is the fixed contrast effect coefficient, quantifying the additive shift induced by gadolinium hyper-intensity (</w:t>
      </w:r>
      <w:r>
        <w:rPr>
          <w:rFonts w:ascii="Cambria Math" w:hAnsi="Cambria Math"/>
          <w:i/>
        </w:rPr>
        <w:t>\text{Contrast}_i = 1</w:t>
      </w:r>
      <w:r>
        <w:t xml:space="preserve"> if post-contrast, </w:t>
      </w:r>
      <w:r>
        <w:rPr>
          <w:rFonts w:ascii="Cambria Math" w:hAnsi="Cambria Math"/>
          <w:i/>
        </w:rPr>
        <w:t>0</w:t>
      </w:r>
      <w:r>
        <w:t xml:space="preserve"> if unenhanced).</w:t>
      </w:r>
    </w:p>
    <w:p>
      <w:pPr>
        <w:spacing w:before="160" w:after="60"/>
      </w:pPr>
      <w:r>
        <w:rPr>
          <w:rFonts w:ascii="Arial" w:hAnsi="Arial"/>
          <w:b/>
          <w:color w:val="283C64"/>
          <w:sz w:val="22"/>
        </w:rPr>
        <w:t>Heteroskedastic Slice-Thickness Dispersion Function</w:t>
      </w:r>
    </w:p>
    <w:p>
      <w:pPr>
        <w:spacing w:before="0" w:after="100" w:line="276" w:lineRule="auto"/>
      </w:pPr>
      <w:r>
        <w:t xml:space="preserve">Crucially, in conventional regression models, residual noise </w:t>
      </w:r>
      <w:r>
        <w:rPr>
          <w:rFonts w:ascii="Cambria Math" w:hAnsi="Cambria Math"/>
          <w:i/>
        </w:rPr>
        <w:t>\sigma_i</w:t>
      </w:r>
      <w:r>
        <w:t xml:space="preserve"> is assumed to be homogeneous across all observations (</w:t>
      </w:r>
      <w:r>
        <w:rPr>
          <w:rFonts w:ascii="Cambria Math" w:hAnsi="Cambria Math"/>
          <w:i/>
        </w:rPr>
        <w:t>\sigma_i = \sigma</w:t>
      </w:r>
      <w:r>
        <w:t xml:space="preserve">). In routine clinical MRI, this homoskedastic assumption is fundamentally violated: a 6.0 mm slice carries vastly higher partial volume uncertainty than a 1.0 mm slice. We formulate an </w:t>
      </w:r>
      <w:r>
        <w:rPr>
          <w:b/>
        </w:rPr>
        <w:t>exponential noise dispersion function</w:t>
      </w:r>
      <w:r>
        <w:t>:</w:t>
      </w:r>
    </w:p>
    <w:p>
      <w:pPr>
        <w:spacing w:before="120" w:after="120"/>
        <w:jc w:val="center"/>
      </w:pPr>
      <w:r>
        <w:rPr>
          <w:rFonts w:ascii="Cambria Math" w:hAnsi="Cambria Math"/>
          <w:i/>
          <w:sz w:val="23"/>
        </w:rPr>
        <w:t>\sigma_i = \sigma_0 \cdot \exp\left(\lambda \cdot [h_i - 1.0]\right)</w:t>
      </w:r>
    </w:p>
    <w:p>
      <w:pPr>
        <w:spacing w:before="0" w:after="100" w:line="276" w:lineRule="auto"/>
      </w:pPr>
      <w:r>
        <w:t>where:</w:t>
      </w:r>
    </w:p>
    <w:p>
      <w:pPr>
        <w:pStyle w:val="ListBullet"/>
        <w:spacing w:before="20" w:after="40"/>
      </w:pPr>
      <w:r>
        <w:rPr>
          <w:rFonts w:ascii="Cambria Math" w:hAnsi="Cambria Math"/>
          <w:i/>
        </w:rPr>
        <w:t>\sigma_0 &gt; 0</w:t>
      </w:r>
      <w:r>
        <w:t xml:space="preserve"> represents the baseline measurement noise at isotropic 1.0 mm resolution.</w:t>
      </w:r>
    </w:p>
    <w:p>
      <w:pPr>
        <w:pStyle w:val="ListBullet"/>
        <w:spacing w:before="20" w:after="40"/>
      </w:pPr>
      <w:r>
        <w:rPr>
          <w:rFonts w:ascii="Cambria Math" w:hAnsi="Cambria Math"/>
          <w:i/>
        </w:rPr>
        <w:t>h_i \ge 1.0</w:t>
      </w:r>
      <w:r>
        <w:t xml:space="preserve"> is the acquired slice thickness in millimeters.</w:t>
      </w:r>
    </w:p>
    <w:p>
      <w:pPr>
        <w:pStyle w:val="ListBullet"/>
        <w:spacing w:before="20" w:after="40"/>
      </w:pPr>
      <w:r>
        <w:rPr>
          <w:rFonts w:ascii="Cambria Math" w:hAnsi="Cambria Math"/>
          <w:i/>
        </w:rPr>
        <w:t>\lambda \in \mathbb{R}</w:t>
      </w:r>
      <w:r>
        <w:t xml:space="preserve"> is the slice noise scaling parameter. If </w:t>
      </w:r>
      <w:r>
        <w:rPr>
          <w:rFonts w:ascii="Cambria Math" w:hAnsi="Cambria Math"/>
          <w:i/>
        </w:rPr>
        <w:t>\lambda &gt; 0</w:t>
      </w:r>
      <w:r>
        <w:t xml:space="preserve">, measurement uncertainty compounds exponentially as slice thickness increases. If </w:t>
      </w:r>
      <w:r>
        <w:rPr>
          <w:rFonts w:ascii="Cambria Math" w:hAnsi="Cambria Math"/>
          <w:i/>
        </w:rPr>
        <w:t>\lambda = 0</w:t>
      </w:r>
      <w:r>
        <w:t>, the model reduces to classical homoskedastic regression.</w:t>
      </w:r>
    </w:p>
    <w:p>
      <w:pPr>
        <w:spacing w:before="160" w:after="60"/>
      </w:pPr>
      <w:r>
        <w:rPr>
          <w:rFonts w:ascii="Arial" w:hAnsi="Arial"/>
          <w:b/>
          <w:color w:val="283C64"/>
          <w:sz w:val="22"/>
        </w:rPr>
        <w:t>Hierarchical Hyperpriors &amp; Non-Centered Parameterization</w:t>
      </w:r>
    </w:p>
    <w:p>
      <w:pPr>
        <w:spacing w:before="0" w:after="100" w:line="276" w:lineRule="auto"/>
      </w:pPr>
      <w:r>
        <w:t xml:space="preserve">To avoid funnel geometries and ensure efficient Hamiltonian Monte Carlo sampling, the hierarchical group effects </w:t>
      </w:r>
      <w:r>
        <w:rPr>
          <w:rFonts w:ascii="Cambria Math" w:hAnsi="Cambria Math"/>
          <w:i/>
        </w:rPr>
        <w:t>\beta_d</w:t>
      </w:r>
      <w:r>
        <w:t xml:space="preserve"> and site intercepts </w:t>
      </w:r>
      <w:r>
        <w:rPr>
          <w:rFonts w:ascii="Cambria Math" w:hAnsi="Cambria Math"/>
          <w:i/>
        </w:rPr>
        <w:t>\gamma_s</w:t>
      </w:r>
      <w:r>
        <w:t xml:space="preserve"> are implemented using a </w:t>
      </w:r>
      <w:r>
        <w:rPr>
          <w:b/>
        </w:rPr>
        <w:t>non-centered parameterization</w:t>
      </w:r>
      <w:r>
        <w:t>:</w:t>
      </w:r>
    </w:p>
    <w:p>
      <w:pPr>
        <w:spacing w:before="120" w:after="120"/>
        <w:jc w:val="center"/>
      </w:pPr>
      <w:r>
        <w:rPr>
          <w:rFonts w:ascii="Cambria Math" w:hAnsi="Cambria Math"/>
          <w:i/>
          <w:sz w:val="23"/>
        </w:rPr>
        <w:t>\beta_d = \tau_\beta \cdot z_{\beta, d}, \quad z_{\beta, d} \sim \mathcal{N}(0, 1)</w:t>
      </w:r>
    </w:p>
    <w:p>
      <w:pPr>
        <w:spacing w:before="120" w:after="120"/>
        <w:jc w:val="center"/>
      </w:pPr>
      <w:r>
        <w:rPr>
          <w:rFonts w:ascii="Cambria Math" w:hAnsi="Cambria Math"/>
          <w:i/>
          <w:sz w:val="23"/>
        </w:rPr>
        <w:t>\gamma_s = \tau_\gamma \cdot z_{\gamma, s}, \quad z_{\gamma, s} \sim \mathcal{N}(0, 1)</w:t>
      </w:r>
    </w:p>
    <w:p>
      <w:pPr>
        <w:spacing w:before="120" w:after="120"/>
        <w:jc w:val="center"/>
      </w:pPr>
      <w:r>
        <w:rPr>
          <w:rFonts w:ascii="Cambria Math" w:hAnsi="Cambria Math"/>
          <w:i/>
          <w:sz w:val="23"/>
        </w:rPr>
        <w:t>\tau_\beta \sim \text{Half-Normal}(0.05), \quad \tau_\gamma \sim \text{Half-Normal}(0.05)</w:t>
      </w:r>
    </w:p>
    <w:p>
      <w:pPr>
        <w:spacing w:before="0" w:after="100" w:line="276" w:lineRule="auto"/>
      </w:pPr>
      <w:r>
        <w:t>Weakly informative priors were placed on remaining parameters:</w:t>
      </w:r>
    </w:p>
    <w:p>
      <w:pPr>
        <w:spacing w:before="120" w:after="120"/>
        <w:jc w:val="center"/>
      </w:pPr>
      <w:r>
        <w:rPr>
          <w:rFonts w:ascii="Cambria Math" w:hAnsi="Cambria Math"/>
          <w:i/>
          <w:sz w:val="23"/>
        </w:rPr>
        <w:t>\alpha \sim \mathcal{N}(0.60, 0.10) \quad [\text{for Evans' Index}] \quad \text{or} \quad \mathcal{N}(0.75, 0.15) \quad [\text{for PEF}]</w:t>
      </w:r>
    </w:p>
    <w:p>
      <w:pPr>
        <w:spacing w:before="120" w:after="120"/>
        <w:jc w:val="center"/>
      </w:pPr>
      <w:r>
        <w:rPr>
          <w:rFonts w:ascii="Cambria Math" w:hAnsi="Cambria Math"/>
          <w:i/>
          <w:sz w:val="23"/>
        </w:rPr>
        <w:t>\delta \sim \mathcal{N}(0, 0.05)</w:t>
      </w:r>
    </w:p>
    <w:p>
      <w:pPr>
        <w:spacing w:before="120" w:after="120"/>
        <w:jc w:val="center"/>
      </w:pPr>
      <w:r>
        <w:rPr>
          <w:rFonts w:ascii="Cambria Math" w:hAnsi="Cambria Math"/>
          <w:i/>
          <w:sz w:val="23"/>
        </w:rPr>
        <w:t>\sigma_0 \sim \text{Half-Normal}(0.05)</w:t>
      </w:r>
    </w:p>
    <w:p>
      <w:pPr>
        <w:spacing w:before="120" w:after="120"/>
        <w:jc w:val="center"/>
      </w:pPr>
      <w:r>
        <w:rPr>
          <w:rFonts w:ascii="Cambria Math" w:hAnsi="Cambria Math"/>
          <w:i/>
          <w:sz w:val="23"/>
        </w:rPr>
        <w:t>\lambda \sim \mathcal{N}(0, 0.15)</w:t>
      </w:r>
    </w:p>
    <w:p>
      <w:pPr>
        <w:spacing w:before="160" w:after="60"/>
      </w:pPr>
      <w:r>
        <w:rPr>
          <w:rFonts w:ascii="Arial" w:hAnsi="Arial"/>
          <w:b/>
          <w:color w:val="283C64"/>
          <w:sz w:val="22"/>
        </w:rPr>
        <w:t>Intraclass Correlation Coefficients &amp; Site-Level Variance Fraction</w:t>
      </w:r>
    </w:p>
    <w:p>
      <w:pPr>
        <w:spacing w:before="0" w:after="100" w:line="276" w:lineRule="auto"/>
      </w:pPr>
      <w:r>
        <w:t>To quantify the proportion of total modeled variance attributable to diagnostic disease versus institutional site clustering, we compute the posterior Intraclass Correlation Coefficients (ICC). Because measurement noise expands exponentially with slice thickness (</w:t>
      </w:r>
      <w:r>
        <w:rPr>
          <w:rFonts w:ascii="Cambria Math" w:hAnsi="Cambria Math"/>
          <w:i/>
        </w:rPr>
        <w:t>\sigma_i^2 = \sigma_0^2 \exp(2\lambda[h_i - 1.0])</w:t>
      </w:r>
      <w:r>
        <w:t xml:space="preserve">), the baseline parameter </w:t>
      </w:r>
      <w:r>
        <w:rPr>
          <w:rFonts w:ascii="Cambria Math" w:hAnsi="Cambria Math"/>
          <w:i/>
        </w:rPr>
        <w:t>\sigma_0^2</w:t>
      </w:r>
      <w:r>
        <w:t xml:space="preserve"> represents residual variance specifically at the isotropic 1.0 mm reference scale. We therefore compute the reference 1.0 mm variance fractions:</w:t>
      </w:r>
    </w:p>
    <w:p>
      <w:pPr>
        <w:spacing w:before="120" w:after="120"/>
        <w:jc w:val="center"/>
      </w:pPr>
      <w:r>
        <w:rPr>
          <w:rFonts w:ascii="Cambria Math" w:hAnsi="Cambria Math"/>
          <w:i/>
          <w:sz w:val="23"/>
        </w:rPr>
        <w:t>\text{ICC}_{\text{disorder}}^{1\text{mm}} = \frac{\tau_\beta^2}{\tau_\beta^2 + \tau_\gamma^2 + \sigma_0^2}, \quad \text{ICC}_{\text{site}}^{1\text{mm}} = \frac{\tau_\gamma^2}{\tau_\beta^2 + \tau_\gamma^2 + \sigma_0^2}</w:t>
      </w:r>
    </w:p>
    <w:p>
      <w:pPr>
        <w:spacing w:before="0" w:after="100" w:line="276" w:lineRule="auto"/>
      </w:pPr>
      <w:r>
        <w:t xml:space="preserve">To provide a cohort-relevant estimate across authentic clinical scans (where median slice thickness is </w:t>
      </w:r>
      <w:r>
        <w:rPr>
          <w:rFonts w:ascii="Cambria Math" w:hAnsi="Cambria Math"/>
          <w:i/>
        </w:rPr>
        <w:t>5.0\text{ mm}</w:t>
      </w:r>
      <w:r>
        <w:t xml:space="preserve">), we also compute the expected posterior residual variance across all </w:t>
      </w:r>
      <w:r>
        <w:rPr>
          <w:rFonts w:ascii="Cambria Math" w:hAnsi="Cambria Math"/>
          <w:i/>
        </w:rPr>
        <w:t>N</w:t>
      </w:r>
      <w:r>
        <w:t xml:space="preserve"> subjects in the clinical cohort:</w:t>
      </w:r>
    </w:p>
    <w:p>
      <w:pPr>
        <w:spacing w:before="120" w:after="120"/>
        <w:jc w:val="center"/>
      </w:pPr>
      <w:r>
        <w:rPr>
          <w:rFonts w:ascii="Cambria Math" w:hAnsi="Cambria Math"/>
          <w:i/>
          <w:sz w:val="23"/>
        </w:rPr>
        <w:t>\overline{\sigma^2} = \frac{1}{N}\sum_{i=1}^N \sigma_i^2 = \sigma_0^2 \cdot \frac{1}{N}\sum_{i=1}^N \exp\left(2\lambda [h_i - 1.0]\right)</w:t>
      </w:r>
    </w:p>
    <w:p>
      <w:pPr>
        <w:spacing w:before="0" w:after="100" w:line="276" w:lineRule="auto"/>
      </w:pPr>
      <w:r>
        <w:t>and derive the cohort-adjusted clinical ICC:</w:t>
      </w:r>
    </w:p>
    <w:p>
      <w:pPr>
        <w:spacing w:before="120" w:after="120"/>
        <w:jc w:val="center"/>
      </w:pPr>
      <w:r>
        <w:rPr>
          <w:rFonts w:ascii="Cambria Math" w:hAnsi="Cambria Math"/>
          <w:i/>
          <w:sz w:val="23"/>
        </w:rPr>
        <w:t>\text{ICC}_{\text{disorder}}^{\text{clinical}} = \frac{\tau_\beta^2}{\tau_\beta^2 + \tau_\gamma^2 + \overline{\sigma^2}}, \quad \text{ICC}_{\text{site}}^{\text{clinical}} = \frac{\tau_\gamma^2}{\tau_\beta^2 + \tau_\gamma^2 + \overline{\sigma^2}}</w:t>
      </w:r>
    </w:p>
    <w:p>
      <w:pPr>
        <w:spacing w:before="0" w:after="100" w:line="276" w:lineRule="auto"/>
      </w:pPr>
      <w:r>
        <w:rPr>
          <w:i/>
        </w:rPr>
        <w:t>Defensible Interpretation of $\text{ICC}_{\text{site}}$:</w:t>
      </w:r>
      <w:r>
        <w:t xml:space="preserve"> We designate </w:t>
      </w:r>
      <w:r>
        <w:rPr>
          <w:rFonts w:ascii="Cambria Math" w:hAnsi="Cambria Math"/>
          <w:i/>
        </w:rPr>
        <w:t>\text{ICC}_{\text{site}}</w:t>
      </w:r>
      <w:r>
        <w:t xml:space="preserve"> as the </w:t>
      </w:r>
      <w:r>
        <w:rPr>
          <w:b/>
        </w:rPr>
        <w:t>Site-Level Variance Fraction</w:t>
      </w:r>
      <w:r>
        <w:t xml:space="preserve">. It is critical to recognize that </w:t>
      </w:r>
      <w:r>
        <w:rPr>
          <w:rFonts w:ascii="Cambria Math" w:hAnsi="Cambria Math"/>
          <w:i/>
        </w:rPr>
        <w:t>\gamma_s</w:t>
      </w:r>
      <w:r>
        <w:t xml:space="preserve"> does not represent scanner hardware alone. Rather, site in an observational clinical archive bundles:</w:t>
      </w:r>
    </w:p>
    <w:p>
      <w:pPr>
        <w:spacing w:before="120" w:after="120"/>
        <w:jc w:val="center"/>
      </w:pPr>
      <w:r>
        <w:rPr>
          <w:rFonts w:ascii="Cambria Math" w:hAnsi="Cambria Math"/>
          <w:i/>
          <w:sz w:val="23"/>
        </w:rPr>
        <w:t>\text{Site} = \text{Scanner Hardware} + \text{Acquisition Protocols} + \text{Patient Population} + \text{Referral Mix} + \text{Operator Practices}</w:t>
      </w:r>
    </w:p>
    <w:p>
      <w:pPr>
        <w:spacing w:before="0" w:after="100" w:line="276" w:lineRule="auto"/>
      </w:pPr>
      <w:r>
        <w:t xml:space="preserve">Because diagnosis is partially confounded with site across institutions (Table 1), </w:t>
      </w:r>
      <w:r>
        <w:rPr>
          <w:rFonts w:ascii="Cambria Math" w:hAnsi="Cambria Math"/>
          <w:i/>
        </w:rPr>
        <w:t>\text{ICC}_{\text{site}}</w:t>
      </w:r>
      <w:r>
        <w:t xml:space="preserve"> represents the empirical fraction of variance absorbed by institutional clustering rather than a clean causal biological-versus-hardware decomposition.</w:t>
      </w:r>
    </w:p>
    <w:p>
      <w:pPr>
        <w:spacing w:before="160" w:after="60"/>
      </w:pPr>
      <w:r>
        <w:rPr>
          <w:rFonts w:ascii="Arial" w:hAnsi="Arial"/>
          <w:b/>
          <w:color w:val="283C64"/>
          <w:sz w:val="22"/>
        </w:rPr>
        <w:t>PyMC 5.12 NUTS Sampling &amp; Convergence Standards</w:t>
      </w:r>
    </w:p>
    <w:p>
      <w:pPr>
        <w:spacing w:before="0" w:after="100" w:line="276" w:lineRule="auto"/>
      </w:pPr>
      <w:r>
        <w:t xml:space="preserve">Posterior distributions were sampled using Hamiltonian Monte Carlo (HMC) with the No-U-Turn Sampler (NUTS; Hoffman &amp; Gelman, 2014) in </w:t>
      </w:r>
      <w:r>
        <w:rPr>
          <w:b/>
        </w:rPr>
        <w:t>PyMC 5.12</w:t>
      </w:r>
      <w:r>
        <w:t xml:space="preserve"> with ArviZ 0.17 diagnostics. For each target metric, we executed 4 independent Markov chains, each with 1,500 sampling draws following 1,000 warm-up tuning iterations (yielding 6,000 posterior draws per parameter) with a target acceptance probability of </w:t>
      </w:r>
      <w:r>
        <w:rPr>
          <w:rFonts w:ascii="Cambria Math" w:hAnsi="Cambria Math"/>
          <w:i/>
        </w:rPr>
        <w:t>0.95</w:t>
      </w:r>
      <w:r>
        <w:t xml:space="preserve">. Convergence was rigorously verified using modern standards: rank-normalized split </w:t>
      </w:r>
      <w:r>
        <w:rPr>
          <w:rFonts w:ascii="Cambria Math" w:hAnsi="Cambria Math"/>
          <w:i/>
        </w:rPr>
        <w:t>\hat{R} \le 1.000</w:t>
      </w:r>
      <w:r>
        <w:t>, bulk Effective Sample Size (</w:t>
      </w:r>
      <w:r>
        <w:rPr>
          <w:rFonts w:ascii="Cambria Math" w:hAnsi="Cambria Math"/>
          <w:i/>
        </w:rPr>
        <w:t>\text{ESS}_{\text{bulk}} &gt; 1,500</w:t>
      </w:r>
      <w:r>
        <w:t>), and tail Effective Sample Size (</w:t>
      </w:r>
      <w:r>
        <w:rPr>
          <w:rFonts w:ascii="Cambria Math" w:hAnsi="Cambria Math"/>
          <w:i/>
        </w:rPr>
        <w:t>\text{ESS}_{\text{tail}} &gt; 2,000</w:t>
      </w:r>
      <w:r>
        <w:t>).</w:t>
      </w:r>
    </w:p>
    <w:p>
      <w:pPr>
        <w:spacing w:before="120" w:after="120" w:line="120" w:lineRule="auto"/>
      </w:pPr>
      <w:r>
        <w:rPr>
          <w:color w:val="C8C8C8"/>
        </w:rPr>
        <w:t>―――――――――――――――――――――――――――――――――――――――――――――</w:t>
      </w:r>
    </w:p>
    <w:p>
      <w:pPr>
        <w:spacing w:before="240" w:after="80"/>
      </w:pPr>
      <w:r>
        <w:rPr>
          <w:rFonts w:ascii="Arial" w:hAnsi="Arial"/>
          <w:b/>
          <w:color w:val="1E325A"/>
          <w:sz w:val="24"/>
        </w:rPr>
        <w:t>2.5 Experimental Lab 1: Controlled Synthetic Degradation Lab</w:t>
      </w:r>
    </w:p>
    <w:p>
      <w:pPr>
        <w:spacing w:before="0" w:after="100" w:line="276" w:lineRule="auto"/>
      </w:pPr>
      <w:r>
        <w:t xml:space="preserve">To empirically isolate the physical effect of slice blur from biological variance, we created a controlled degradation benchmark. </w:t>
      </w:r>
    </w:p>
    <w:p>
      <w:pPr>
        <w:pStyle w:val="ListBullet"/>
        <w:spacing w:before="20" w:after="40"/>
      </w:pPr>
      <w:r>
        <w:rPr>
          <w:b/>
        </w:rPr>
        <w:t>Cohort:</w:t>
      </w:r>
      <w:r>
        <w:t xml:space="preserve"> We selected </w:t>
      </w:r>
      <w:r>
        <w:rPr>
          <w:rFonts w:ascii="Cambria Math" w:hAnsi="Cambria Math"/>
          <w:i/>
        </w:rPr>
        <w:t>N = 35</w:t>
      </w:r>
      <w:r>
        <w:t xml:space="preserve"> pristine 3D T1-weighted MPRAGE scans (</w:t>
      </w:r>
      <w:r>
        <w:rPr>
          <w:rFonts w:ascii="Cambria Math" w:hAnsi="Cambria Math"/>
          <w:i/>
        </w:rPr>
        <w:t>1.0\text{ mm}^3</w:t>
      </w:r>
      <w:r>
        <w:t xml:space="preserve"> isotropic) from UPTH and Brainlife archives.</w:t>
      </w:r>
    </w:p>
    <w:p>
      <w:pPr>
        <w:pStyle w:val="ListBullet"/>
        <w:spacing w:before="20" w:after="40"/>
      </w:pPr>
      <w:r>
        <w:rPr>
          <w:b/>
        </w:rPr>
        <w:t>Degradation Operator:</w:t>
      </w:r>
      <w:r>
        <w:t xml:space="preserve"> For each pristine scan </w:t>
      </w:r>
      <w:r>
        <w:rPr>
          <w:rFonts w:ascii="Cambria Math" w:hAnsi="Cambria Math"/>
          <w:i/>
        </w:rPr>
        <w:t>I_0</w:t>
      </w:r>
      <w:r>
        <w:t xml:space="preserve">, 2D clinical multi-slice acquisitions were simulated along the slice-select axis </w:t>
      </w:r>
      <w:r>
        <w:rPr>
          <w:rFonts w:ascii="Cambria Math" w:hAnsi="Cambria Math"/>
          <w:i/>
        </w:rPr>
        <w:t>z</w:t>
      </w:r>
      <w:r>
        <w:t xml:space="preserve"> for thicknesses </w:t>
      </w:r>
      <w:r>
        <w:rPr>
          <w:rFonts w:ascii="Cambria Math" w:hAnsi="Cambria Math"/>
          <w:i/>
        </w:rPr>
        <w:t>h \in \{3.0, 4.0, 5.0, 6.0\text{ mm}\}</w:t>
      </w:r>
      <w:r>
        <w:t>:</w:t>
      </w:r>
    </w:p>
    <w:p>
      <w:pPr>
        <w:spacing w:before="120" w:after="120"/>
        <w:jc w:val="center"/>
      </w:pPr>
      <w:r>
        <w:rPr>
          <w:rFonts w:ascii="Cambria Math" w:hAnsi="Cambria Math"/>
          <w:i/>
          <w:sz w:val="23"/>
        </w:rPr>
        <w:t>I_h(x, y, z) = \left[ I_0(x, y, z) * \text{rect}\left(\frac{z}{h}\right) \right] \downarrow_{h}</w:t>
      </w:r>
    </w:p>
    <w:p>
      <w:pPr>
        <w:spacing w:before="0" w:after="100" w:line="276" w:lineRule="auto"/>
      </w:pPr>
      <w:r>
        <w:t xml:space="preserve">  where convolution with a boxcar slice sensitivity profile simulates partial-volume integration across slice thickness </w:t>
      </w:r>
      <w:r>
        <w:rPr>
          <w:rFonts w:ascii="Cambria Math" w:hAnsi="Cambria Math"/>
          <w:i/>
        </w:rPr>
        <w:t>h</w:t>
      </w:r>
      <w:r>
        <w:t xml:space="preserve">, followed by downsampling by factor </w:t>
      </w:r>
      <w:r>
        <w:rPr>
          <w:rFonts w:ascii="Cambria Math" w:hAnsi="Cambria Math"/>
          <w:i/>
        </w:rPr>
        <w:t>h</w:t>
      </w:r>
      <w:r>
        <w:t>.</w:t>
      </w:r>
    </w:p>
    <w:p>
      <w:pPr>
        <w:pStyle w:val="ListBullet"/>
        <w:spacing w:before="20" w:after="40"/>
      </w:pPr>
      <w:r>
        <w:rPr>
          <w:b/>
        </w:rPr>
        <w:t>Metrics:</w:t>
      </w:r>
      <w:r>
        <w:t xml:space="preserve"> On each degraded volume </w:t>
      </w:r>
      <w:r>
        <w:rPr>
          <w:rFonts w:ascii="Cambria Math" w:hAnsi="Cambria Math"/>
          <w:i/>
        </w:rPr>
        <w:t>I_h</w:t>
      </w:r>
      <w:r>
        <w:t>, we computed Evans' Index, PEF, VBR, and a representative fine subcortical micro-structure volume proxy.</w:t>
      </w:r>
    </w:p>
    <w:p>
      <w:pPr>
        <w:pStyle w:val="ListBullet"/>
        <w:spacing w:before="20" w:after="40"/>
      </w:pPr>
      <w:r>
        <w:rPr>
          <w:b/>
        </w:rPr>
        <w:t>Error Metrics:</w:t>
      </w:r>
      <w:r>
        <w:t xml:space="preserve"> Relative Percentage Error was computed against the 1.0 mm undegraded high-resolution reference:</w:t>
      </w:r>
    </w:p>
    <w:p>
      <w:pPr>
        <w:spacing w:before="120" w:after="120"/>
        <w:jc w:val="center"/>
      </w:pPr>
      <w:r>
        <w:rPr>
          <w:rFonts w:ascii="Cambria Math" w:hAnsi="Cambria Math"/>
          <w:i/>
          <w:sz w:val="23"/>
        </w:rPr>
        <w:t>\text{Relative Error}(M, h) = \frac{|M_h - M_{\text{1.0mm}}|}{M_{\text{1.0mm}}} \times 100\%</w:t>
      </w:r>
    </w:p>
    <w:p>
      <w:pPr>
        <w:pStyle w:val="ListBullet"/>
        <w:spacing w:before="20" w:after="40"/>
      </w:pPr>
      <w:r>
        <w:rPr>
          <w:b/>
        </w:rPr>
        <w:t>Physical Scope &amp; Degradation Boundaries:</w:t>
      </w:r>
      <w:r>
        <w:t xml:space="preserve"> We emphasize that Experiment 1 investigates </w:t>
      </w:r>
      <w:r>
        <w:rPr>
          <w:b/>
        </w:rPr>
        <w:t>controlled through-plane resolution degradation</w:t>
      </w:r>
      <w:r>
        <w:t xml:space="preserve"> along the slice-select axis under an idealized boxcar slice profile. It does not simulate the full spectrum of clinical MRI degradation mechanisms, such as field-strength-dependent SNR loss, intra-scan patient motion, radiofrequency (RF) excitation profile non-linearities, inter-slice gaps, vendor-specific reconstruction kernels, receive-coil sensitivity inhomogeneities, or oblique re-slicing.</w:t>
      </w:r>
    </w:p>
    <w:p>
      <w:pPr>
        <w:spacing w:before="240" w:after="80"/>
      </w:pPr>
      <w:r>
        <w:rPr>
          <w:rFonts w:ascii="Arial" w:hAnsi="Arial"/>
          <w:b/>
          <w:color w:val="1E325A"/>
          <w:sz w:val="24"/>
        </w:rPr>
        <w:t>2.6 Experimental Lab 2: Clinical Feasibility, Prespecified QC Bounds &amp; Failure Boundaries</w:t>
      </w:r>
    </w:p>
    <w:p>
      <w:pPr>
        <w:spacing w:before="0" w:after="100" w:line="276" w:lineRule="auto"/>
      </w:pPr>
      <w:r>
        <w:t xml:space="preserve">To establish the operational boundaries of automated morphometry across real-world clinical quality gradients, we evaluated all </w:t>
      </w:r>
      <w:r>
        <w:rPr>
          <w:rFonts w:ascii="Cambria Math" w:hAnsi="Cambria Math"/>
          <w:i/>
        </w:rPr>
        <w:t>N=218</w:t>
      </w:r>
      <w:r>
        <w:t xml:space="preserve"> scans. Measurement unviability was defined using five prespecified geometric and algorithmic plausibility Quality Control (QC) criteria established prior to statistical modeling:</w:t>
      </w:r>
    </w:p>
    <w:p>
      <w:pPr>
        <w:spacing w:before="120" w:after="120" w:line="252" w:lineRule="auto"/>
      </w:pPr>
      <w:r>
        <w:rPr>
          <w:rFonts w:ascii="Consolas" w:hAnsi="Consolas"/>
          <w:color w:val="282828"/>
          <w:sz w:val="16"/>
        </w:rPr>
        <w:t>Table 3A: Prespecified Quality Control Failure Bounds &amp; Geometric/Algorithmic Plausibility Rationale</w:t>
        <w:br/>
        <w:t>┌─────────────────────────┬──────────────────────────┬────────────────────────────────────────────────────────┐</w:t>
        <w:br/>
        <w:t>│ Metric / Component      │ Prespecified QC Bounds   │ Geometric &amp; Algorithmic Plausibility Rationale         │</w:t>
        <w:br/>
        <w:t>├─────────────────────────┼──────────────────────────┼────────────────────────────────────────────────────────┤</w:t>
        <w:br/>
        <w:t>│ Scout / Localizer Scans │ &lt; 10 axial slices or     │ Severe field-of-view truncation; inadequate coverage   │</w:t>
        <w:br/>
        <w:t>│                         │ craniocaudal &lt; 100 mm    │ for whole-brain parenchymal envelope or calvarium.     │</w:t>
        <w:br/>
        <w:t>│ Evans' Index (EI)       │ &lt; 0.18  or  &gt; 0.85       │ Normal adult/pediatric EI spans 0.20–0.28; severe      │</w:t>
        <w:br/>
        <w:t>│                         │                          │ ventriculomegaly reaches 0.50–0.70. Values &lt;0.18       │</w:t>
        <w:br/>
        <w:t>│                         │                          │ reflect automated failure to resolve frontal horns;    │</w:t>
        <w:br/>
        <w:t>│                         │                          │ values &gt;0.85 reflect segmentation bleed into calvarium.│</w:t>
        <w:br/>
        <w:t>│ Parenchymal Envelope    │ &lt; 0.45  or  &gt; 0.96       │ Plausible geometric envelope fraction spans 0.65–0.90. │</w:t>
        <w:br/>
        <w:t>│ Fraction (PEF)          │                          │ Values &lt;0.45 denote catastrophic coil signal dropout   │</w:t>
        <w:br/>
        <w:t>│                         │                          │ or truncation; values &gt;0.96 indicate algorithmic       │</w:t>
        <w:br/>
        <w:t>│                         │                          │ dilation breakdown collapsing envelope onto boundary.  │</w:t>
        <w:br/>
        <w:t>│ Ventricle-to-Brain      │ &lt;= 0.00  or  &gt; 0.60      │ Non-physical non-positive volume (&lt;=0) or gross tissue │</w:t>
        <w:br/>
        <w:t>│ Ratio (VBR)             │                          │ threshold leak into periventricular white matter (&gt;0.6)│</w:t>
        <w:br/>
        <w:t>│ Hemispheric Asymmetry   │ &gt; 35.0 %                 │ Expected cranial symmetry yields index &lt;5–10%.         │</w:t>
        <w:br/>
        <w:t>│ Index (HAI)             │                          │ Asymmetry &gt;35% indicates unilateral coil cutoff/tilt.  │</w:t>
        <w:br/>
        <w:t>└─────────────────────────┴──────────────────────────┴────────────────────────────────────────────────────────┘</w:t>
      </w:r>
    </w:p>
    <w:p>
      <w:pPr>
        <w:spacing w:before="0" w:after="100" w:line="276" w:lineRule="auto"/>
      </w:pPr>
      <w:r>
        <w:t>Subject-level processing trajectories, completion milestones, runtimes, and failure stages for all 218 participants processed with FreeSurfer (</w:t>
      </w:r>
      <w:r>
        <w:rPr>
          <w:rFonts w:ascii="Consolas" w:hAnsi="Consolas"/>
          <w:color w:val="A02828"/>
          <w:sz w:val="19"/>
        </w:rPr>
        <w:t>recon-all -autorecon1 -autorecon2</w:t>
      </w:r>
      <w:r>
        <w:t>) were logged empirically in [</w:t>
      </w:r>
      <w:r>
        <w:rPr>
          <w:rFonts w:ascii="Consolas" w:hAnsi="Consolas"/>
          <w:color w:val="A02828"/>
          <w:sz w:val="19"/>
        </w:rPr>
        <w:t>results/tables/freesurfer_qc.csv</w:t>
      </w:r>
      <w:r>
        <w:t>](../results/tables/freesurfer_qc.csv).</w:t>
      </w:r>
    </w:p>
    <w:p>
      <w:pPr>
        <w:spacing w:before="0" w:after="100" w:line="276" w:lineRule="auto"/>
      </w:pPr>
      <w:r>
        <w:t xml:space="preserve">To model measurement unviability under a unified Bayesian philosophy, we fit a Bayesian multivariate logistic regression model in PyMC using NUTS (4 chains </w:t>
      </w:r>
      <w:r>
        <w:rPr>
          <w:rFonts w:ascii="Cambria Math" w:hAnsi="Cambria Math"/>
          <w:i/>
        </w:rPr>
        <w:t>\times</w:t>
      </w:r>
      <w:r>
        <w:t xml:space="preserve"> 1,500 draws, 1,000 tuning steps, target accept 0.95):</w:t>
      </w:r>
    </w:p>
    <w:p>
      <w:pPr>
        <w:spacing w:before="120" w:after="120"/>
        <w:jc w:val="center"/>
      </w:pPr>
      <w:r>
        <w:rPr>
          <w:rFonts w:ascii="Cambria Math" w:hAnsi="Cambria Math"/>
          <w:i/>
          <w:sz w:val="23"/>
        </w:rPr>
        <w:t>Failure_i \sim \text{Bernoulli}(p_i)</w:t>
      </w:r>
    </w:p>
    <w:p>
      <w:pPr>
        <w:spacing w:before="120" w:after="120"/>
        <w:jc w:val="center"/>
      </w:pPr>
      <w:r>
        <w:rPr>
          <w:rFonts w:ascii="Cambria Math" w:hAnsi="Cambria Math"/>
          <w:i/>
          <w:sz w:val="23"/>
        </w:rPr>
        <w:t>\text{logit}(p_i) = \alpha + \beta_{\text{thick}} [h_i - 1.0] + \beta_{\text{contrast}} \text{Contrast}_i + \beta_{\text{lowfield}} \text{LowField}_i</w:t>
      </w:r>
    </w:p>
    <w:p>
      <w:pPr>
        <w:spacing w:before="0" w:after="100" w:line="276" w:lineRule="auto"/>
      </w:pPr>
      <w:r>
        <w:t xml:space="preserve">with weakly informative regularizing priors: </w:t>
      </w:r>
      <w:r>
        <w:rPr>
          <w:rFonts w:ascii="Cambria Math" w:hAnsi="Cambria Math"/>
          <w:i/>
        </w:rPr>
        <w:t>\alpha \sim \mathcal{N}(-2.0, 2.0^2)</w:t>
      </w:r>
      <w:r>
        <w:t xml:space="preserve"> and </w:t>
      </w:r>
      <w:r>
        <w:rPr>
          <w:rFonts w:ascii="Cambria Math" w:hAnsi="Cambria Math"/>
          <w:i/>
        </w:rPr>
        <w:t>\beta_k \sim \mathcal{N}(0, 1.0^2)</w:t>
      </w:r>
      <w:r>
        <w:t xml:space="preserve">. Posterior odds ratios were computed directly from MCMC draws as </w:t>
      </w:r>
      <w:r>
        <w:rPr>
          <w:rFonts w:ascii="Cambria Math" w:hAnsi="Cambria Math"/>
          <w:i/>
        </w:rPr>
        <w:t>\text{OR}_k = \exp(\beta_k)</w:t>
      </w:r>
      <w:r>
        <w:t>.</w:t>
      </w:r>
    </w:p>
    <w:p>
      <w:pPr>
        <w:spacing w:before="240" w:after="80"/>
      </w:pPr>
      <w:r>
        <w:rPr>
          <w:rFonts w:ascii="Arial" w:hAnsi="Arial"/>
          <w:b/>
          <w:color w:val="1E325A"/>
          <w:sz w:val="24"/>
        </w:rPr>
        <w:t>2.7 Experimental Lab 3: Confounding Sensitivity &amp; Benchmarking</w:t>
      </w:r>
    </w:p>
    <w:p>
      <w:pPr>
        <w:spacing w:before="0" w:after="100" w:line="276" w:lineRule="auto"/>
      </w:pPr>
      <w:r>
        <w:t>To benchmark our Bayesian model and test its sensitivity to observational confounding, we executed three evaluative workflows:</w:t>
      </w:r>
    </w:p>
    <w:p>
      <w:pPr>
        <w:pStyle w:val="ListNumber"/>
        <w:spacing w:before="20" w:after="40"/>
      </w:pPr>
      <w:r>
        <w:rPr>
          <w:b/>
        </w:rPr>
        <w:t>Model Progression Benchmarking:</w:t>
      </w:r>
      <w:r>
        <w:t xml:space="preserve"> We compared the estimated effect of Dementia atrophy (</w:t>
      </w:r>
      <w:r>
        <w:rPr>
          <w:rFonts w:ascii="Cambria Math" w:hAnsi="Cambria Math"/>
          <w:i/>
        </w:rPr>
        <w:t>\beta_{\text{DEMENTIA}}</w:t>
      </w:r>
      <w:r>
        <w:t xml:space="preserve"> on Evans' Index and PEF) across three specifications:</w:t>
      </w:r>
    </w:p>
    <w:p>
      <w:pPr>
        <w:pStyle w:val="ListBullet"/>
        <w:spacing w:before="20" w:after="40"/>
      </w:pPr>
      <w:r>
        <w:rPr>
          <w:i/>
        </w:rPr>
        <w:t>Model 0 (Naive OLS):</w:t>
      </w:r>
      <w:r>
        <w:t xml:space="preserve"> </w:t>
      </w:r>
      <w:r>
        <w:rPr>
          <w:rFonts w:ascii="Cambria Math" w:hAnsi="Cambria Math"/>
          <w:i/>
        </w:rPr>
        <w:t>y_i = \alpha + \beta_{d[i]} + \epsilon_i</w:t>
      </w:r>
      <w:r>
        <w:t xml:space="preserve"> (ignores site, contrast, and thickness entirely).</w:t>
      </w:r>
    </w:p>
    <w:p>
      <w:pPr>
        <w:pStyle w:val="ListBullet"/>
        <w:spacing w:before="20" w:after="40"/>
      </w:pPr>
      <w:r>
        <w:rPr>
          <w:i/>
        </w:rPr>
        <w:t>Model 1 (Covariate-Adjusted OLS):</w:t>
      </w:r>
      <w:r>
        <w:t xml:space="preserve"> </w:t>
      </w:r>
      <w:r>
        <w:rPr>
          <w:rFonts w:ascii="Cambria Math" w:hAnsi="Cambria Math"/>
          <w:i/>
        </w:rPr>
        <w:t>y_i = \alpha + \beta_{d[i]} + \theta \text{Contrast}_i + \psi [h_i - 1.0] + \epsilon_i</w:t>
      </w:r>
      <w:r>
        <w:t>.</w:t>
      </w:r>
    </w:p>
    <w:p>
      <w:pPr>
        <w:pStyle w:val="ListBullet"/>
        <w:spacing w:before="20" w:after="40"/>
      </w:pPr>
      <w:r>
        <w:rPr>
          <w:i/>
        </w:rPr>
        <w:t>Model 2 (Hierarchical Bayesian Model):</w:t>
      </w:r>
      <w:r>
        <w:t xml:space="preserve"> Fully specified generative model with non-centered partial pooling and exponential noise dispersion.</w:t>
      </w:r>
    </w:p>
    <w:p>
      <w:pPr>
        <w:pStyle w:val="ListNumber"/>
        <w:spacing w:before="20" w:after="40"/>
      </w:pPr>
      <w:r>
        <w:rPr>
          <w:b/>
        </w:rPr>
        <w:t>Confounding Sensitivity Testing:</w:t>
      </w:r>
      <w:r>
        <w:t xml:space="preserve"> We re-fit the Bayesian model under two restricted subsets:</w:t>
      </w:r>
    </w:p>
    <w:p>
      <w:pPr>
        <w:pStyle w:val="ListBullet"/>
        <w:spacing w:before="20" w:after="40"/>
      </w:pPr>
      <w:r>
        <w:rPr>
          <w:i/>
        </w:rPr>
        <w:t>Unenhanced Only ($N = 126$):</w:t>
      </w:r>
      <w:r>
        <w:t xml:space="preserve"> All contrast-enhanced scans removed, eliminating gadolinium as a confounding factor.</w:t>
      </w:r>
    </w:p>
    <w:p>
      <w:pPr>
        <w:pStyle w:val="ListBullet"/>
        <w:spacing w:before="20" w:after="40"/>
      </w:pPr>
      <w:r>
        <w:rPr>
          <w:i/>
        </w:rPr>
        <w:t>Site-Pruned (Excluding RSUTH, $N = 127$ retained):</w:t>
      </w:r>
      <w:r>
        <w:t xml:space="preserve"> The largest participating center (RSUTH, </w:t>
      </w:r>
      <w:r>
        <w:rPr>
          <w:rFonts w:ascii="Cambria Math" w:hAnsi="Cambria Math"/>
          <w:i/>
        </w:rPr>
        <w:t>n=85</w:t>
      </w:r>
      <w:r>
        <w:t>) dropped to verify that posterior group effects are not driven by a single institutional protocol.</w:t>
      </w:r>
    </w:p>
    <w:p>
      <w:pPr>
        <w:pStyle w:val="ListNumber"/>
        <w:spacing w:before="20" w:after="40"/>
      </w:pPr>
      <w:r>
        <w:rPr>
          <w:b/>
        </w:rPr>
        <w:t>Prior Shrinkage Sensitivity (Fixed vs. Hierarchical Disease Effects):</w:t>
      </w:r>
      <w:r>
        <w:t xml:space="preserve"> To test whether the near-zero disease effects were an artifact of aggressive hierarchical shrinkage across five groups (</w:t>
      </w:r>
      <w:r>
        <w:rPr>
          <w:rFonts w:ascii="Cambria Math" w:hAnsi="Cambria Math"/>
          <w:i/>
        </w:rPr>
        <w:t>\tau_\beta</w:t>
      </w:r>
      <w:r>
        <w:t>), we evaluated a sensitivity model treating diagnosis as regularized fixed effects (</w:t>
      </w:r>
      <w:r>
        <w:rPr>
          <w:rFonts w:ascii="Cambria Math" w:hAnsi="Cambria Math"/>
          <w:i/>
        </w:rPr>
        <w:t>\beta_d \sim \mathcal{N}(0, 0.05^2)</w:t>
      </w:r>
      <w:r>
        <w:t xml:space="preserve">) without estimating a common hyperprior </w:t>
      </w:r>
      <w:r>
        <w:rPr>
          <w:rFonts w:ascii="Cambria Math" w:hAnsi="Cambria Math"/>
          <w:i/>
        </w:rPr>
        <w:t>\tau_\beta</w:t>
      </w:r>
      <w:r>
        <w:t>.</w:t>
      </w:r>
    </w:p>
    <w:p>
      <w:pPr>
        <w:spacing w:before="120" w:after="120" w:line="120" w:lineRule="auto"/>
      </w:pPr>
      <w:r>
        <w:rPr>
          <w:color w:val="C8C8C8"/>
        </w:rPr>
        <w:t>―――――――――――――――――――――――――――――――――――――――――――――</w:t>
      </w:r>
    </w:p>
    <w:p>
      <w:pPr>
        <w:spacing w:before="320" w:after="120"/>
      </w:pPr>
      <w:r>
        <w:rPr>
          <w:rFonts w:ascii="Arial" w:hAnsi="Arial"/>
          <w:b/>
          <w:color w:val="142D50"/>
          <w:sz w:val="28"/>
        </w:rPr>
        <w:t>3. Results</w:t>
      </w:r>
    </w:p>
    <w:p>
      <w:pPr>
        <w:spacing w:before="240" w:after="80"/>
      </w:pPr>
      <w:r>
        <w:rPr>
          <w:rFonts w:ascii="Arial" w:hAnsi="Arial"/>
          <w:b/>
          <w:color w:val="1E325A"/>
          <w:sz w:val="24"/>
        </w:rPr>
        <w:t>3.1 Experiment 1: The Physics of Metric Degradation</w:t>
      </w:r>
    </w:p>
    <w:p>
      <w:pPr>
        <w:spacing w:before="0" w:after="100" w:line="276" w:lineRule="auto"/>
      </w:pPr>
      <w:r>
        <w:t>Figure 1 and Table 2 present the empirical degradation trajectories across 175 experimental trials (</w:t>
      </w:r>
      <w:r>
        <w:rPr>
          <w:rFonts w:ascii="Cambria Math" w:hAnsi="Cambria Math"/>
          <w:i/>
        </w:rPr>
        <w:t>N=35</w:t>
      </w:r>
      <w:r>
        <w:t xml:space="preserve"> subjects evaluated across 5 resolution levels).</w:t>
      </w:r>
    </w:p>
    <w:p>
      <w:pPr>
        <w:spacing w:before="120" w:after="120" w:line="252" w:lineRule="auto"/>
      </w:pPr>
      <w:r>
        <w:rPr>
          <w:rFonts w:ascii="Consolas" w:hAnsi="Consolas"/>
          <w:color w:val="282828"/>
          <w:sz w:val="16"/>
        </w:rPr>
        <w:t>Table 2: Relative Percentage Error (% ± SD) as a Function of Slice Thickness (N=35)</w:t>
        <w:br/>
        <w:t>┌─────────────────┬───────────────────┬───────────────────┬───────────────────┬─────────────────────┐</w:t>
        <w:br/>
        <w:t>│ Slice Thickness │ Evans' Index (%)  │ PEF (%)           │ VBR (%)           │ Subcortical Micro(%)│</w:t>
        <w:br/>
        <w:t>├─────────────────┼───────────────────┼───────────────────┼───────────────────┼─────────────────────┤</w:t>
        <w:br/>
        <w:t>│ 1.0 mm (Ref.)   │   0.00 ± 0.00 %   │   0.00 ± 0.00 %   │   0.00 ± 0.00 %   │   0.00 ± 0.00 %     │</w:t>
        <w:br/>
        <w:t>│ 3.0 mm          │   1.83 ± 2.38 %   │   5.38 ± 1.74 %   │  34.40 ± 20.17 %  │  45.33 ± 31.38 %    │</w:t>
        <w:br/>
        <w:t>│ 4.0 mm          │   2.30 ± 3.23 %   │   6.06 ± 1.93 %   │  44.31 ± 22.64 %  │  37.62 ± 32.96 %    │</w:t>
        <w:br/>
        <w:t>│ 5.0 mm (Clin.)  │   2.45 ± 2.50 %   │   6.06 ± 2.24 %   │  42.15 ± 24.03 %  │  45.31 ± 33.62 %    │</w:t>
        <w:br/>
        <w:t>│ 6.0 mm          │   2.74 ± 3.87 %   │   6.37 ± 2.29 %   │  50.67 ± 26.42 %  │  50.83 ± 34.45 %    │</w:t>
        <w:br/>
        <w:t>└─────────────────┴───────────────────┴───────────────────┴───────────────────┴─────────────────────┘</w:t>
      </w:r>
    </w:p>
    <w:p>
      <w:pPr>
        <w:spacing w:before="0" w:after="100" w:line="276" w:lineRule="auto"/>
      </w:pPr>
      <w:r>
        <w:t>The controlled degradation experiment strongly supported Hypotheses 1 and 2:</w:t>
      </w:r>
    </w:p>
    <w:p>
      <w:pPr>
        <w:pStyle w:val="ListNumber"/>
        <w:spacing w:before="20" w:after="40"/>
      </w:pPr>
      <w:r>
        <w:rPr>
          <w:b/>
        </w:rPr>
        <w:t>Evans' Index Is Exceptionally Resilient:</w:t>
      </w:r>
      <w:r>
        <w:t xml:space="preserve"> Because frontal horn width and internal skull diameter are measured in the axial plane perpendicular to the slice-select axis, </w:t>
      </w:r>
      <w:r>
        <w:rPr>
          <w:b/>
        </w:rPr>
        <w:t>Evans' Index suffered only $1.83\%$ error at 3.0 mm and $2.45\%$ error at 5.0 mm</w:t>
      </w:r>
      <w:r>
        <w:t xml:space="preserve">. Even at extreme 6.0 mm slice thickness, the mean relative bias remained below </w:t>
      </w:r>
      <w:r>
        <w:rPr>
          <w:rFonts w:ascii="Cambria Math" w:hAnsi="Cambria Math"/>
          <w:i/>
        </w:rPr>
        <w:t>2.75\%</w:t>
      </w:r>
      <w:r>
        <w:t>.</w:t>
      </w:r>
    </w:p>
    <w:p>
      <w:pPr>
        <w:pStyle w:val="ListNumber"/>
        <w:spacing w:before="20" w:after="40"/>
      </w:pPr>
      <w:r>
        <w:rPr>
          <w:b/>
        </w:rPr>
        <w:t>PEF Shows Moderate Global Stability:</w:t>
      </w:r>
      <w:r>
        <w:t xml:space="preserve"> Global Parenchymal Envelope Fraction drifted by only </w:t>
      </w:r>
      <w:r>
        <w:rPr>
          <w:rFonts w:ascii="Cambria Math" w:hAnsi="Cambria Math"/>
          <w:i/>
        </w:rPr>
        <w:t>\sim 6.06\%</w:t>
      </w:r>
      <w:r>
        <w:t xml:space="preserve"> at 5.0 mm. While partial-volume averaging blurs cortical sulci, the reciprocal exchange along the hemispheric convexity limits net envelope drift.</w:t>
      </w:r>
    </w:p>
    <w:p>
      <w:pPr>
        <w:pStyle w:val="ListNumber"/>
        <w:spacing w:before="20" w:after="40"/>
      </w:pPr>
      <w:r>
        <w:rPr>
          <w:b/>
        </w:rPr>
        <w:t>Subcortical Micro-Morphometry and VBR Collapse:</w:t>
      </w:r>
      <w:r>
        <w:t xml:space="preserve"> Fine anatomical structures (caudate, thalamic, and hippocampal boundaries) experienced catastrophic volume distortion, with relative errors of </w:t>
      </w:r>
      <w:r>
        <w:rPr>
          <w:b/>
        </w:rPr>
        <w:t>$45.33\%$ at 3.0 mm and $45.31\%$ at 5.0 mm</w:t>
      </w:r>
      <w:r>
        <w:t xml:space="preserve">. Similarly, 3D Ventricle-to-Brain Ratio exhibited </w:t>
      </w:r>
      <w:r>
        <w:rPr>
          <w:rFonts w:ascii="Cambria Math" w:hAnsi="Cambria Math"/>
          <w:i/>
        </w:rPr>
        <w:t>42.15\%</w:t>
      </w:r>
      <w:r>
        <w:t xml:space="preserve"> error at 5.0 mm and </w:t>
      </w:r>
      <w:r>
        <w:rPr>
          <w:rFonts w:ascii="Cambria Math" w:hAnsi="Cambria Math"/>
          <w:i/>
        </w:rPr>
        <w:t>50.67\%</w:t>
      </w:r>
      <w:r>
        <w:t xml:space="preserve"> error at 6.0 mm, as slice-select blurring artificially fuses narrow ventricular margins with periventricular white matter.</w:t>
      </w:r>
    </w:p>
    <w:p>
      <w:pPr>
        <w:spacing w:before="240" w:after="80"/>
        <w:jc w:val="center"/>
      </w:pPr>
      <w:r>
        <w:drawing>
          <wp:inline xmlns:a="http://schemas.openxmlformats.org/drawingml/2006/main" xmlns:pic="http://schemas.openxmlformats.org/drawingml/2006/picture">
            <wp:extent cx="5669280" cy="2229002"/>
            <wp:docPr id="2" name="Picture 2"/>
            <wp:cNvGraphicFramePr>
              <a:graphicFrameLocks noChangeAspect="1"/>
            </wp:cNvGraphicFramePr>
            <a:graphic>
              <a:graphicData uri="http://schemas.openxmlformats.org/drawingml/2006/picture">
                <pic:pic>
                  <pic:nvPicPr>
                    <pic:cNvPr id="0" name="figure1_synthetic_degradation_curves.png"/>
                    <pic:cNvPicPr/>
                  </pic:nvPicPr>
                  <pic:blipFill>
                    <a:blip r:embed="rId10"/>
                    <a:stretch>
                      <a:fillRect/>
                    </a:stretch>
                  </pic:blipFill>
                  <pic:spPr>
                    <a:xfrm>
                      <a:off x="0" y="0"/>
                      <a:ext cx="5669280" cy="2229002"/>
                    </a:xfrm>
                    <a:prstGeom prst="rect"/>
                  </pic:spPr>
                </pic:pic>
              </a:graphicData>
            </a:graphic>
          </wp:inline>
        </w:drawing>
      </w:r>
    </w:p>
    <w:p>
      <w:pPr>
        <w:spacing w:before="40" w:after="280"/>
        <w:jc w:val="center"/>
      </w:pPr>
      <w:r>
        <w:rPr>
          <w:i/>
          <w:color w:val="505050"/>
          <w:sz w:val="19"/>
        </w:rPr>
        <w:t>Figure 1: Controlled Synthetic Degradation Lab. (A) Relative percentage error curves across slice thickness (1.0 mm to 6.0 mm) demonstrating the high stability of Evans' Index under controlled through-plane degradation (&lt;2.5% error) versus the collapse of subcortical micro-morphometry (&gt;45% error). (B) Absolute measurement trajectories across individual subjects.</w:t>
      </w:r>
    </w:p>
    <w:p>
      <w:pPr>
        <w:spacing w:before="120" w:after="120" w:line="120" w:lineRule="auto"/>
      </w:pPr>
      <w:r>
        <w:rPr>
          <w:color w:val="C8C8C8"/>
        </w:rPr>
        <w:t>―――――――――――――――――――――――――――――――――――――――――――――</w:t>
      </w:r>
    </w:p>
    <w:p>
      <w:pPr>
        <w:spacing w:before="240" w:after="80"/>
      </w:pPr>
      <w:r>
        <w:rPr>
          <w:rFonts w:ascii="Arial" w:hAnsi="Arial"/>
          <w:b/>
          <w:color w:val="1E325A"/>
          <w:sz w:val="24"/>
        </w:rPr>
        <w:t>3.2 Experiment 2: Clinical Feasibility Boundaries &amp; Attrition Rates</w:t>
      </w:r>
    </w:p>
    <w:p>
      <w:pPr>
        <w:spacing w:before="0" w:after="100" w:line="276" w:lineRule="auto"/>
      </w:pPr>
      <w:r>
        <w:t>In Experiment 2, the automated macro-morphometry pipeline was deployed across the entire real-world clinical cohort (</w:t>
      </w:r>
      <w:r>
        <w:rPr>
          <w:rFonts w:ascii="Cambria Math" w:hAnsi="Cambria Math"/>
          <w:i/>
        </w:rPr>
        <w:t>N=218</w:t>
      </w:r>
      <w:r>
        <w:t>) and bench-tested directly against FreeSurfer.</w:t>
      </w:r>
    </w:p>
    <w:p>
      <w:pPr>
        <w:spacing w:before="160" w:after="60"/>
      </w:pPr>
      <w:r>
        <w:rPr>
          <w:rFonts w:ascii="Arial" w:hAnsi="Arial"/>
          <w:b/>
          <w:color w:val="283C64"/>
          <w:sz w:val="22"/>
        </w:rPr>
        <w:t>Empirical Pipeline Attrition Comparison</w:t>
      </w:r>
    </w:p>
    <w:p>
      <w:pPr>
        <w:spacing w:before="0" w:after="100" w:line="276" w:lineRule="auto"/>
      </w:pPr>
      <w:r>
        <w:t>Table 3 provides the complete, cohort-level breakdown of processing attrition between FreeSurfer and our macro-morphometry engine across all 218 scans.</w:t>
      </w:r>
    </w:p>
    <w:p>
      <w:pPr>
        <w:spacing w:before="120" w:after="120" w:line="252" w:lineRule="auto"/>
      </w:pPr>
      <w:r>
        <w:rPr>
          <w:rFonts w:ascii="Consolas" w:hAnsi="Consolas"/>
          <w:color w:val="282828"/>
          <w:sz w:val="16"/>
        </w:rPr>
        <w:t>Table 3: Empirical Pipeline Retention &amp; Attrition Comparison by Cohort (N=218)</w:t>
        <w:br/>
        <w:t>┌───────────────┬──────┬────────────────────────┬──────────────────────┬─────────────────────────┬──────────────────────┐</w:t>
        <w:br/>
        <w:t>│ Diagnostic    │ Total│ FreeSurfer             │ FreeSurfer           │ Macro-Morphometry       │ Macro-Morphometry    │</w:t>
        <w:br/>
        <w:t>│ Cohort        │ Scans│ Completed (Pass Rate)  │ Primary Failure Mode │ Completed (Pass Rate)   │ Primary Failure Mode │</w:t>
        <w:br/>
        <w:t>├───────────────┼──────┼────────────────────────┼──────────────────────┼─────────────────────────┼──────────────────────┤</w:t>
        <w:br/>
        <w:t>│ CONTROL       │  63  │  22 / 63  (34.9%)      │ Topology defects on  │  62 / 63  (98.4%)       │ Single 2D scout scan │</w:t>
        <w:br/>
        <w:t>│               │      │                        │ 5.0mm thick slices   │                         │ quarantined          │</w:t>
        <w:br/>
        <w:t>│ DEMENTIA      │  45  │   7 / 45  (15.6%)      │ Cortical parcellation│  40 / 45  (88.9%)       │ 5 low-slice localizer│</w:t>
        <w:br/>
        <w:t>│               │      │                        │ &amp; PVE tissue invers. │                         │ series quarantined   │</w:t>
        <w:br/>
        <w:t>│ EPILEPSY      │   7  │   0 /  7   (0.0%)      │ Pial placement error;│   7 /  7 (100.0%)       │ None (all completed) │</w:t>
        <w:br/>
        <w:t>│               │      │                        │ predominantly +C scan│                         │                      │</w:t>
        <w:br/>
        <w:t>│ HYDROCEPHALUS │  82  │   0 / 82   (0.0%)      │ Talairach divergence │  82 / 82 (100.0%)       │ None (all completed) │</w:t>
        <w:br/>
        <w:t>│               │      │                        │ on ventriculomegaly  │                         │                      │</w:t>
        <w:br/>
        <w:t>│ PARKINSON     │  21  │   3 / 21  (14.3%)      │ Subcortical boundary │  18 / 21  (85.7%)       │ 3 localizer scout    │</w:t>
        <w:br/>
        <w:t>│               │      │                        │ hallucination (5mm)  │                         │ scans quarantined    │</w:t>
        <w:br/>
        <w:t>├───────────────┼──────┼────────────────────────┼──────────────────────┼─────────────────────────┼──────────────────────┤</w:t>
        <w:br/>
        <w:t>│ **TOTAL**     │**218**│**32 / 218 (14.7%)**   │ Catastrophic loss on │**209 / 218 (95.9%)**    │ Scout/localizer scans│</w:t>
        <w:br/>
        <w:t>│               │      │                        │ thick-slice &amp; pathol.│                         │ properly quarantined │</w:t>
        <w:br/>
        <w:t>└───────────────┴──────┴────────────────────────┴──────────────────────┴─────────────────────────┴──────────────────────┘</w:t>
      </w:r>
    </w:p>
    <w:p>
      <w:pPr>
        <w:pStyle w:val="ListBullet"/>
        <w:spacing w:before="20" w:after="40"/>
      </w:pPr>
      <w:r>
        <w:rPr>
          <w:b/>
        </w:rPr>
        <w:t>FreeSurfer Suffers Catastrophic Failure on Clinical Archives:</w:t>
      </w:r>
      <w:r>
        <w:t xml:space="preserve"> FreeSurfer successfully processed only </w:t>
      </w:r>
      <w:r>
        <w:rPr>
          <w:b/>
        </w:rPr>
        <w:t>$32 / 218$ scans (14.7% pass rate)</w:t>
      </w:r>
      <w:r>
        <w:t xml:space="preserve">, failing on </w:t>
      </w:r>
      <w:r>
        <w:rPr>
          <w:rFonts w:ascii="Cambria Math" w:hAnsi="Cambria Math"/>
          <w:i/>
        </w:rPr>
        <w:t>186 / 218</w:t>
      </w:r>
      <w:r>
        <w:t xml:space="preserve"> scans (</w:t>
      </w:r>
      <w:r>
        <w:rPr>
          <w:rFonts w:ascii="Cambria Math" w:hAnsi="Cambria Math"/>
          <w:i/>
        </w:rPr>
        <w:t>85.3\%</w:t>
      </w:r>
      <w:r>
        <w:t xml:space="preserve"> attrition). Most egregiously, FreeSurfer failed on </w:t>
      </w:r>
      <w:r>
        <w:rPr>
          <w:b/>
        </w:rPr>
        <w:t>100% ($82/82$) of Hydrocephalus cases</w:t>
      </w:r>
      <w:r>
        <w:t xml:space="preserve">, where massive ventriculomegaly disrupted stereotaxic registration and pial surface placement, and </w:t>
      </w:r>
      <w:r>
        <w:rPr>
          <w:b/>
        </w:rPr>
        <w:t>100% ($7/7$) of Epilepsy cases</w:t>
      </w:r>
      <w:r>
        <w:t xml:space="preserve"> (predominantly contrast-enhanced series that exhibited pial surface placement failure).</w:t>
      </w:r>
    </w:p>
    <w:p>
      <w:pPr>
        <w:pStyle w:val="ListBullet"/>
        <w:spacing w:before="20" w:after="40"/>
      </w:pPr>
      <w:r>
        <w:rPr>
          <w:b/>
        </w:rPr>
        <w:t>Macro-Morphometry Retains 95.9% of Clinical Cases:</w:t>
      </w:r>
      <w:r>
        <w:t xml:space="preserve"> The proposed macro-morphometry engine achieved a </w:t>
      </w:r>
      <w:r>
        <w:rPr>
          <w:b/>
        </w:rPr>
        <w:t>95.9% pipeline retention rate</w:t>
      </w:r>
      <w:r>
        <w:t xml:space="preserve"> (</w:t>
      </w:r>
      <w:r>
        <w:rPr>
          <w:rFonts w:ascii="Cambria Math" w:hAnsi="Cambria Math"/>
          <w:i/>
        </w:rPr>
        <w:t>209 / 218</w:t>
      </w:r>
      <w:r>
        <w:t xml:space="preserve"> scans), retaining 100% of Hydrocephalus and Epilepsy cases. The 9 excluded scans were non-volumetric 2D localizer scout series correctly flagged by automated quality control.</w:t>
      </w:r>
    </w:p>
    <w:p>
      <w:pPr>
        <w:spacing w:before="160" w:after="60"/>
      </w:pPr>
      <w:r>
        <w:rPr>
          <w:rFonts w:ascii="Arial" w:hAnsi="Arial"/>
          <w:b/>
          <w:color w:val="283C64"/>
          <w:sz w:val="22"/>
        </w:rPr>
        <w:t>Bayesian Logistic Failure Model</w:t>
      </w:r>
    </w:p>
    <w:p>
      <w:pPr>
        <w:spacing w:before="120" w:after="120" w:line="252" w:lineRule="auto"/>
      </w:pPr>
      <w:r>
        <w:rPr>
          <w:rFonts w:ascii="Consolas" w:hAnsi="Consolas"/>
          <w:color w:val="282828"/>
          <w:sz w:val="16"/>
        </w:rPr>
        <w:t>Table 4: Bayesian Logistic Regression Failure Model [Logit(P(Measurement Unviability)); PyMC NUTS]</w:t>
        <w:br/>
        <w:t>┌─────────────────────────────────┬──────────┬──────────┬──────────────────────────┬───────────────────────┬─────────┬──────────┐</w:t>
        <w:br/>
        <w:t>│ Predictor Term                  │ Mean     │ SD       │ 95% Highest Density Int. │ Median OR [95% HDI]   │ R-hat   │ ESS Bulk │</w:t>
        <w:br/>
        <w:t>├─────────────────────────────────┼──────────┼──────────┼──────────────────────────┼───────────────────────┼─────────┼──────────┤</w:t>
        <w:br/>
        <w:t>│ Intercept (1.0mm, Unenh., 1.5T) │ -6.200   │  1.015   │ [ -8.284,   -4.211]      │ 0.002 [0.0002, 0.015] │  1.000  │    2402  │</w:t>
        <w:br/>
        <w:t>│ Slice Thickness (per mm &gt; 1mm)  │ +0.500   │  0.218   │ [ +0.079,   +0.943]      │ 1.644 [1.0740, 2.557] │  1.000  │    2535  │</w:t>
        <w:br/>
        <w:t>│ Gadolinium Contrast (+C)        │ +0.659   │  0.621   │ [ -0.568,   +1.887]      │ 1.948 [0.5560, 6.519] │  1.000  │    3712  │</w:t>
        <w:br/>
        <w:t>│ Low Field (&lt;= 0.35T)            │ +1.811   │  0.614   │ [ +0.638,   +3.017]      │ 6.117 [1.8510, 20.04] │  1.000  │    3860  │</w:t>
        <w:br/>
        <w:t>└─────────────────────────────────┴──────────┴──────────┴──────────────────────────┴───────────────────────┴─────────┴──────────┘</w:t>
      </w:r>
    </w:p>
    <w:p>
      <w:pPr>
        <w:spacing w:before="0" w:after="100" w:line="276" w:lineRule="auto"/>
      </w:pPr>
      <w:r>
        <w:t>The Bayesian failure model (Table 4 and Figure 2) provides principled parameter estimates:</w:t>
      </w:r>
    </w:p>
    <w:p>
      <w:pPr>
        <w:pStyle w:val="ListBullet"/>
        <w:spacing w:before="20" w:after="40"/>
      </w:pPr>
      <w:r>
        <w:rPr>
          <w:b/>
        </w:rPr>
        <w:t>Slice Thickness Effect:</w:t>
      </w:r>
      <w:r>
        <w:t xml:space="preserve"> Each millimeter increase in slice thickness increases the odds of automated measurement unviability by approximately </w:t>
      </w:r>
      <w:r>
        <w:rPr>
          <w:b/>
        </w:rPr>
        <w:t>64.4% ($\text{OR} = 1.644, 95\%\text{ HDI: } [1.074, 2.557]$)</w:t>
      </w:r>
      <w:r>
        <w:t>, with posterior log-odds strictly bounded away from zero (</w:t>
      </w:r>
      <w:r>
        <w:rPr>
          <w:rFonts w:ascii="Cambria Math" w:hAnsi="Cambria Math"/>
          <w:i/>
        </w:rPr>
        <w:t>95\%\text{ HDI: } [+0.079, +0.943]</w:t>
      </w:r>
      <w:r>
        <w:t>).</w:t>
      </w:r>
    </w:p>
    <w:p>
      <w:pPr>
        <w:pStyle w:val="ListBullet"/>
        <w:spacing w:before="20" w:after="40"/>
      </w:pPr>
      <w:r>
        <w:rPr>
          <w:b/>
        </w:rPr>
        <w:t>Contrast Enhancement Effect:</w:t>
      </w:r>
      <w:r>
        <w:t xml:space="preserve"> Contrast-enhanced scans exhibited an elevated median odds ratio of </w:t>
      </w:r>
      <w:r>
        <w:rPr>
          <w:b/>
        </w:rPr>
        <w:t>$1.948$ ($95\%\text{ HDI: } [0.556, 6.519]$)</w:t>
      </w:r>
      <w:r>
        <w:t>. Because the posterior credible interval spans 1.0 (ranging from reduced to substantially increased odds), Experiment 2 does not demonstrate definitive evidence of contrast-induced measurement unviability; rather, the robust contrast finding emerges in Experiment 3 as a systematic quantitative tissue boundary shift (</w:t>
      </w:r>
      <w:r>
        <w:rPr>
          <w:rFonts w:ascii="Cambria Math" w:hAnsi="Cambria Math"/>
          <w:i/>
        </w:rPr>
        <w:t>\delta_{\text{PEF}} = +0.0310</w:t>
      </w:r>
      <w:r>
        <w:t>).</w:t>
      </w:r>
    </w:p>
    <w:p>
      <w:pPr>
        <w:pStyle w:val="ListBullet"/>
        <w:spacing w:before="20" w:after="40"/>
      </w:pPr>
      <w:r>
        <w:rPr>
          <w:b/>
        </w:rPr>
        <w:t>Low Field Effect:</w:t>
      </w:r>
      <w:r>
        <w:t xml:space="preserve"> Scans acquired on low-field systems (</w:t>
      </w:r>
      <w:r>
        <w:rPr>
          <w:rFonts w:ascii="Cambria Math" w:hAnsi="Cambria Math"/>
          <w:i/>
        </w:rPr>
        <w:t>\le 0.35\text{T}</w:t>
      </w:r>
      <w:r>
        <w:t xml:space="preserve">) exhibited a </w:t>
      </w:r>
      <w:r>
        <w:rPr>
          <w:b/>
        </w:rPr>
        <w:t>sixfold surge in failure risk ($\text{OR} = 6.117, 95\%\text{ HDI: } [1.851, 20.035]$)</w:t>
      </w:r>
      <w:r>
        <w:t>, driven by reduced signal-to-noise ratio and severe through-plane partial volume averaging.</w:t>
      </w:r>
    </w:p>
    <w:p>
      <w:pPr>
        <w:spacing w:before="240" w:after="80"/>
        <w:jc w:val="center"/>
      </w:pPr>
      <w:r>
        <w:drawing>
          <wp:inline xmlns:a="http://schemas.openxmlformats.org/drawingml/2006/main" xmlns:pic="http://schemas.openxmlformats.org/drawingml/2006/picture">
            <wp:extent cx="5669280" cy="3902397"/>
            <wp:docPr id="3" name="Picture 3"/>
            <wp:cNvGraphicFramePr>
              <a:graphicFrameLocks noChangeAspect="1"/>
            </wp:cNvGraphicFramePr>
            <a:graphic>
              <a:graphicData uri="http://schemas.openxmlformats.org/drawingml/2006/picture">
                <pic:pic>
                  <pic:nvPicPr>
                    <pic:cNvPr id="0" name="figure2_clinical_feasibility_boundaries.png"/>
                    <pic:cNvPicPr/>
                  </pic:nvPicPr>
                  <pic:blipFill>
                    <a:blip r:embed="rId11"/>
                    <a:stretch>
                      <a:fillRect/>
                    </a:stretch>
                  </pic:blipFill>
                  <pic:spPr>
                    <a:xfrm>
                      <a:off x="0" y="0"/>
                      <a:ext cx="5669280" cy="3902397"/>
                    </a:xfrm>
                    <a:prstGeom prst="rect"/>
                  </pic:spPr>
                </pic:pic>
              </a:graphicData>
            </a:graphic>
          </wp:inline>
        </w:drawing>
      </w:r>
    </w:p>
    <w:p>
      <w:pPr>
        <w:spacing w:before="40" w:after="280"/>
        <w:jc w:val="center"/>
      </w:pPr>
      <w:r>
        <w:rPr>
          <w:i/>
          <w:color w:val="505050"/>
          <w:sz w:val="19"/>
        </w:rPr>
        <w:t>Figure 2: Clinical Feasibility Boundaries. (A) Retention rate comparison showing 95.9% retention for the macro-morphometry engine vs. 14.7% for FreeSurfer. (B) Modeled failure probability curves with shaded 95% posterior credible envelopes across acquisition profiles under Bayesian logistic regression. (C) Posterior Log-Odds forest plot with 95% HDIs. (D) Feasibility decision matrix tabulating posterior failure risks (median [95% HDI]) across representative clinical acquisition profiles. Note: Posterior risks in rows 1–4 refer to the proposed macro-morphometry pipeline; the FreeSurfer value is an independently observed empirical QC failure rate shown as an operational benchmark.</w:t>
      </w:r>
    </w:p>
    <w:p>
      <w:pPr>
        <w:spacing w:before="120" w:after="120" w:line="120" w:lineRule="auto"/>
      </w:pPr>
      <w:r>
        <w:rPr>
          <w:color w:val="C8C8C8"/>
        </w:rPr>
        <w:t>―――――――――――――――――――――――――――――――――――――――――――――</w:t>
      </w:r>
    </w:p>
    <w:p>
      <w:pPr>
        <w:spacing w:before="240" w:after="80"/>
      </w:pPr>
      <w:r>
        <w:rPr>
          <w:rFonts w:ascii="Arial" w:hAnsi="Arial"/>
          <w:b/>
          <w:color w:val="1E325A"/>
          <w:sz w:val="24"/>
        </w:rPr>
        <w:t>3.3 Experiment 3: Hierarchical Bayesian Disease Inference</w:t>
      </w:r>
    </w:p>
    <w:p>
      <w:pPr>
        <w:spacing w:before="0" w:after="100" w:line="276" w:lineRule="auto"/>
      </w:pPr>
      <w:r>
        <w:t xml:space="preserve">Table 5 summarizes the posterior parameter estimates obtained from PyMC 5.12 NUTS sampling (4 chains </w:t>
      </w:r>
      <w:r>
        <w:rPr>
          <w:rFonts w:ascii="Cambria Math" w:hAnsi="Cambria Math"/>
          <w:i/>
        </w:rPr>
        <w:t>\times</w:t>
      </w:r>
      <w:r>
        <w:t xml:space="preserve"> 1,500 draws, 6,000 posterior draws per parameter) across the target morphometric biomarkers (</w:t>
      </w:r>
      <w:r>
        <w:rPr>
          <w:rFonts w:ascii="Cambria Math" w:hAnsi="Cambria Math"/>
          <w:i/>
        </w:rPr>
        <w:t>N=209</w:t>
      </w:r>
      <w:r>
        <w:t xml:space="preserve"> valid subjects).</w:t>
      </w:r>
    </w:p>
    <w:p>
      <w:pPr>
        <w:spacing w:before="120" w:after="120" w:line="252" w:lineRule="auto"/>
      </w:pPr>
      <w:r>
        <w:rPr>
          <w:rFonts w:ascii="Consolas" w:hAnsi="Consolas"/>
          <w:color w:val="282828"/>
          <w:sz w:val="16"/>
        </w:rPr>
        <w:t>Table 5: Posterior Parameter Estimates &amp; Convergence Diagnostics (N=209 Valid Scans; PyMC NUTS)</w:t>
        <w:br/>
        <w:t>┌─────────────────────────────────┬──────────┬──────────┬───────────────────────────┬─────────┬──────────┐</w:t>
        <w:br/>
        <w:t>│ Parameter Description           │ Mean     │ SD       │ 95% Highest Density Int.  │ R-hat   │ ESS Bulk │</w:t>
        <w:br/>
        <w:t>├─────────────────────────────────┼──────────┼──────────┼───────────────────────────┼─────────┼──────────┤</w:t>
        <w:br/>
        <w:t>│ **EVANS' INDEX MODEL**          │          │          │                           │         │          │</w:t>
        <w:br/>
        <w:t>│ α (Global Baseline)             │  0.6100  │  0.0070  │ [  0.5980,   0.6240]      │  1.000  │    5101  │</w:t>
        <w:br/>
        <w:t>│ δ (Contrast Effect)             │ +0.0070  │  0.0100  │ [ -0.0110,  +0.0270]      │  1.000  │    4970  │</w:t>
        <w:br/>
        <w:t>│ σ_0 (Baseline Noise at 1mm)     │  0.0380  │  0.0050  │ [  0.0300,   0.0480]      │  1.000  │    3611  │</w:t>
        <w:br/>
        <w:t>│ λ (Slice Noise Scale)           │ +0.0930  │  0.0340  │ [ +0.0260,  +0.1560]      │  1.000  │    3588  │</w:t>
        <w:br/>
        <w:t>│ τ_β (Disorder SD)               │  0.0120  │  0.0110  │ [  0.0000,   0.0330]      │  1.000  │    2012  │</w:t>
        <w:br/>
        <w:t>│ τ_γ (Site SD)                   │  0.0640  │  0.0180  │ [  0.0330,   0.0980]      │  1.000  │    2330  │</w:t>
        <w:br/>
        <w:t>│ β_CONTROL (Reference = 0)       │  0.0000  │  0.0000  │ [  0.0000,   0.0000]      │  1.000  │    6000  │</w:t>
        <w:br/>
        <w:t>│ β_DEMENTIA                      │ -0.0020  │  0.0080  │ [ -0.0190,  +0.0120]      │  1.000  │    5052  │</w:t>
        <w:br/>
        <w:t>│ β_EPILEPSY                      │ -0.0020  │  0.0100  │ [ -0.0270,  +0.0170]      │  1.000  │    4836  │</w:t>
        <w:br/>
        <w:t>│ β_HYDROCEPHALUS                 │ -0.0070  │  0.0090  │ [ -0.0270,  +0.0060]      │  1.000  │    2904  │</w:t>
        <w:br/>
        <w:t>│ β_PARKINSON                     │ +0.0020  │  0.0080  │ [ -0.0160,  +0.0200]      │  1.000  │    5433  │</w:t>
        <w:br/>
        <w:t>│ γ_AKTH_NKDC                     │ -0.0550  │  0.0120  │ [ -0.0780,  -0.0330]      │  1.000  │    6009  │</w:t>
        <w:br/>
        <w:t>│ γ_BMH                           │ +0.0900  │  0.0130  │ [ +0.0650,  +0.1150]      │  1.000  │    6757  │</w:t>
        <w:br/>
        <w:t>│ γ_IDC                           │ -0.0460  │  0.0090  │ [ -0.0640,  -0.0270]      │  1.000  │    6797  │</w:t>
        <w:br/>
        <w:t>│ γ_LifeBridge                    │ -0.0160  │  0.0160  │ [ -0.0470,  +0.0150]      │  1.000  │    6737  │</w:t>
        <w:br/>
        <w:t>│ γ_RSUTH                         │ +0.0660  │  0.0080  │ [ +0.0510,  +0.0800]      │  1.000  │    5901  │</w:t>
        <w:br/>
        <w:t>│ γ_UPTH                          │ -0.0380  │  0.0090  │ [ -0.0550,  -0.0210]      │  1.000  │    6489  │</w:t>
        <w:br/>
        <w:t>│ ICC_site (1mm Reference)        │  0.6880  │  0.1220  │ [  0.4510,   0.9020]      │  1.000  │    2913  │</w:t>
        <w:br/>
        <w:t>│ ICC_site (Clinical Cohort Avg)  │  0.5640  │  0.1380  │ [  0.3010,   0.8190]      │  1.000  │    2913  │</w:t>
        <w:br/>
        <w:t>│ ICC_disorder (1mm Reference)    │  0.0390  │  0.0680  │ [  0.0000,   0.1720]      │  1.000  │    2186  │</w:t>
        <w:br/>
        <w:t>│ ICC_disorder (Clinical Cohort)  │  0.0320  │  0.0550  │ [  0.0000,   0.1410]      │  1.000  │    2186  │</w:t>
        <w:br/>
        <w:t>├─────────────────────────────────┼──────────┼──────────┼───────────────────────────┼─────────┼──────────┤</w:t>
        <w:br/>
        <w:t>│ **PARENCHYMAL ENVELOPE (PEF)**  │          │          │                           │         │          │</w:t>
        <w:br/>
        <w:t>│ α (Global Baseline)             │  0.7930  │  0.0070  │ [  0.7810,   0.8060]      │  1.000  │    4589  │</w:t>
        <w:br/>
        <w:t>│ δ (Contrast Effect)             │ +0.0310  │  0.0090  │ [ +0.0130,  +0.0500]      │  1.000  │    4874  │</w:t>
        <w:br/>
        <w:t>│ σ_0 (Baseline Noise at 1mm)     │  0.0370  │  0.0050  │ [  0.0280,   0.0470]      │  1.000  │    3512  │</w:t>
        <w:br/>
        <w:t>│ λ (Slice Noise Scale)           │ +0.1060  │  0.0370  │ [ +0.0340,  +0.1790]      │  1.000  │    3617  │</w:t>
        <w:br/>
        <w:t>│ τ_β (Disorder SD)               │  0.0130  │  0.0110  │ [  0.0000,   0.0340]      │  1.000  │    2028  │</w:t>
        <w:br/>
        <w:t>│ τ_γ (Site SD)                   │  0.0540  │  0.0170  │ [  0.0270,   0.0880]      │  1.000  │    2528  │</w:t>
        <w:br/>
        <w:t>│ β_CONTROL (Reference = 0)       │  0.0000  │  0.0000  │ [  0.0000,   0.0000]      │  1.000  │    6000  │</w:t>
        <w:br/>
        <w:t>│ β_DEMENTIA                      │ -0.0040  │  0.0080  │ [ -0.0220,  +0.0120]      │  1.000  │    5140  │</w:t>
        <w:br/>
        <w:t>│ β_EPILEPSY                      │  0.0000  │  0.0100  │ [ -0.0210,  +0.0220]      │  1.000  │    6124  │</w:t>
        <w:br/>
        <w:t>│ β_HYDROCEPHALUS                 │ +0.0020  │  0.0080  │ [ -0.0120,  +0.0210]      │  1.000  │    4623  │</w:t>
        <w:br/>
        <w:t>│ β_PARKINSON                     │ +0.0100  │  0.0110  │ [ -0.0070,  +0.0350]      │  1.000  │    3317  │</w:t>
        <w:br/>
        <w:t>│ γ_AKTH_NKDC                     │ -0.0230  │  0.0110  │ [ -0.0450,  -0.0010]      │  1.000  │    7107  │</w:t>
        <w:br/>
        <w:t>│ γ_BMH                           │ +0.0140  │  0.0120  │ [ -0.0090,  +0.0400]      │  1.000  │    8196  │</w:t>
        <w:br/>
        <w:t>│ γ_IDC                           │ -0.0730  │  0.0090  │ [ -0.0910,  -0.0540]      │  1.000  │    5914  │</w:t>
        <w:br/>
        <w:t>│ γ_LifeBridge                    │ +0.0320  │  0.0160  │ [ -0.0020,  +0.0620]      │  1.000  │    6703  │</w:t>
        <w:br/>
        <w:t>│ γ_RSUTH                         │ +0.0630  │  0.0080  │ [ +0.0480,  +0.0780]      │  1.000  │    6475  │</w:t>
        <w:br/>
        <w:t>│ γ_UPTH                          │ -0.0150  │  0.0090  │ [ -0.0320,  +0.0020]      │  1.000  │    6937  │</w:t>
        <w:br/>
        <w:t>│ ICC_site (1mm Reference)        │  0.6150  │  0.1470  │ [  0.3430,   0.8840]      │  1.000  │    2778  │</w:t>
        <w:br/>
        <w:t>│ ICC_site (Clinical Cohort Avg)  │  0.4700  │  0.1550  │ [  0.1860,   0.7700]      │  1.000  │    2778  │</w:t>
        <w:br/>
        <w:t>│ ICC_disorder (1mm Reference)    │  0.0580  │  0.0850  │ [  0.0000,   0.2310]      │  1.000  │    2096  │</w:t>
        <w:br/>
        <w:t>│ ICC_disorder (Clinical Cohort)  │  0.0440  │  0.0650  │ [  0.0000,   0.1760]      │  1.000  │    2096  │</w:t>
        <w:br/>
        <w:t>└─────────────────────────────────┴──────────┴──────────┴───────────────────────────┴─────────┴──────────┘</w:t>
      </w:r>
    </w:p>
    <w:p>
      <w:pPr>
        <w:spacing w:before="160" w:after="60"/>
      </w:pPr>
      <w:r>
        <w:rPr>
          <w:rFonts w:ascii="Arial" w:hAnsi="Arial"/>
          <w:b/>
          <w:color w:val="283C64"/>
          <w:sz w:val="22"/>
        </w:rPr>
        <w:t>Verification of Core Theoretical Parameters</w:t>
      </w:r>
    </w:p>
    <w:p>
      <w:pPr>
        <w:pStyle w:val="ListNumber"/>
        <w:spacing w:before="20" w:after="40"/>
      </w:pPr>
      <w:r>
        <w:rPr>
          <w:b/>
        </w:rPr>
        <w:t>Heteroskedastic Slice Noise Dispersion ($\lambda &gt; 0$):</w:t>
      </w:r>
    </w:p>
    <w:p>
      <w:pPr>
        <w:spacing w:before="0" w:after="100" w:line="276" w:lineRule="auto"/>
      </w:pPr>
      <w:r>
        <w:t xml:space="preserve">   For both Evans' Index (</w:t>
      </w:r>
      <w:r>
        <w:rPr>
          <w:rFonts w:ascii="Cambria Math" w:hAnsi="Cambria Math"/>
          <w:i/>
        </w:rPr>
        <w:t>\lambda = 0.0930, 95\%\text{ HDI: } [0.0260, 0.1560]</w:t>
      </w:r>
      <w:r>
        <w:t>) and PEF (</w:t>
      </w:r>
      <w:r>
        <w:rPr>
          <w:rFonts w:ascii="Cambria Math" w:hAnsi="Cambria Math"/>
          <w:i/>
        </w:rPr>
        <w:t>\lambda = 0.1060, 95\%\text{ HDI: } [0.0340, 0.1790]</w:t>
      </w:r>
      <w:r>
        <w:t xml:space="preserve">), the posterior distribution of </w:t>
      </w:r>
      <w:r>
        <w:rPr>
          <w:rFonts w:ascii="Cambria Math" w:hAnsi="Cambria Math"/>
          <w:i/>
        </w:rPr>
        <w:t>\lambda</w:t>
      </w:r>
      <w:r>
        <w:t xml:space="preserve"> strictly excludes zero with </w:t>
      </w:r>
      <w:r>
        <w:rPr>
          <w:rFonts w:ascii="Cambria Math" w:hAnsi="Cambria Math"/>
          <w:i/>
        </w:rPr>
        <w:t>&gt;99.8\%</w:t>
      </w:r>
      <w:r>
        <w:t xml:space="preserve"> posterior probability. Because residual standard deviation scales as </w:t>
      </w:r>
      <w:r>
        <w:rPr>
          <w:rFonts w:ascii="Cambria Math" w:hAnsi="Cambria Math"/>
          <w:i/>
        </w:rPr>
        <w:t>\sigma_i = \sigma_0 \exp(\lambda [h_i - 1.0])</w:t>
      </w:r>
      <w:r>
        <w:t xml:space="preserve">, the relative standard deviation increase per additional millimeter of slice thickness is given exactly by </w:t>
      </w:r>
      <w:r>
        <w:rPr>
          <w:rFonts w:ascii="Cambria Math" w:hAnsi="Cambria Math"/>
          <w:i/>
        </w:rPr>
        <w:t>100(e^\lambda - 1)\%</w:t>
      </w:r>
      <w:r>
        <w:t xml:space="preserve">. Thus, Evans' Index residual SD increased by approximately </w:t>
      </w:r>
      <w:r>
        <w:rPr>
          <w:b/>
        </w:rPr>
        <w:t>9.7% per additional millimeter</w:t>
      </w:r>
      <w:r>
        <w:t xml:space="preserve"> (</w:t>
      </w:r>
      <w:r>
        <w:rPr>
          <w:rFonts w:ascii="Cambria Math" w:hAnsi="Cambria Math"/>
          <w:i/>
        </w:rPr>
        <w:t>100(e^{0.0930}-1) = 9.75\%</w:t>
      </w:r>
      <w:r>
        <w:t xml:space="preserve">, </w:t>
      </w:r>
      <w:r>
        <w:rPr>
          <w:rFonts w:ascii="Cambria Math" w:hAnsi="Cambria Math"/>
          <w:i/>
        </w:rPr>
        <w:t>95\%\text{ HDI: } [2.63\%, 16.88\%]</w:t>
      </w:r>
      <w:r>
        <w:t xml:space="preserve">) and PEF residual SD by approximately </w:t>
      </w:r>
      <w:r>
        <w:rPr>
          <w:b/>
        </w:rPr>
        <w:t>11.2% per millimeter</w:t>
      </w:r>
      <w:r>
        <w:t xml:space="preserve"> (</w:t>
      </w:r>
      <w:r>
        <w:rPr>
          <w:rFonts w:ascii="Cambria Math" w:hAnsi="Cambria Math"/>
          <w:i/>
        </w:rPr>
        <w:t>100(e^{0.1060}-1) = 11.18\%</w:t>
      </w:r>
      <w:r>
        <w:t xml:space="preserve">, </w:t>
      </w:r>
      <w:r>
        <w:rPr>
          <w:rFonts w:ascii="Cambria Math" w:hAnsi="Cambria Math"/>
          <w:i/>
        </w:rPr>
        <w:t>95\%\text{ HDI: } [3.46\%, 19.60\%]</w:t>
      </w:r>
      <w:r>
        <w:t>). Standard homoskedastic models that treat thick and thin slices identically severely misestimate statistical confidence by ignoring this compounding exponential variance inflation.</w:t>
      </w:r>
    </w:p>
    <w:p>
      <w:pPr>
        <w:pStyle w:val="ListNumber"/>
        <w:spacing w:before="20" w:after="40"/>
      </w:pPr>
      <w:r>
        <w:rPr>
          <w:b/>
        </w:rPr>
        <w:t>Gadolinium Contrast Shift ($\delta &gt; 0$):</w:t>
      </w:r>
    </w:p>
    <w:p>
      <w:pPr>
        <w:spacing w:before="0" w:after="100" w:line="276" w:lineRule="auto"/>
      </w:pPr>
      <w:r>
        <w:t xml:space="preserve">   In the PEF model, the posterior mass strongly supported a positive contrast-associated PEF shift, with the 95% posterior highest density interval strictly excluding zero (</w:t>
      </w:r>
      <w:r>
        <w:rPr>
          <w:rFonts w:ascii="Cambria Math" w:hAnsi="Cambria Math"/>
          <w:i/>
        </w:rPr>
        <w:t>\delta = +0.0310, 95\%\text{ HDI: } [+0.0130, +0.0500]</w:t>
      </w:r>
      <w:r>
        <w:t xml:space="preserve">). Intravenous gadolinium administration systematically inflates apparent Parenchymal Envelope Fraction by </w:t>
      </w:r>
      <w:r>
        <w:rPr>
          <w:b/>
        </w:rPr>
        <w:t>$+3.1\%$</w:t>
      </w:r>
      <w:r>
        <w:t>, directly validating the need for contrast adjustment in routine archives. In Evans' Index, the contrast effect was negligible (</w:t>
      </w:r>
      <w:r>
        <w:rPr>
          <w:rFonts w:ascii="Cambria Math" w:hAnsi="Cambria Math"/>
          <w:i/>
        </w:rPr>
        <w:t>\delta = +0.0070, 95\%\text{ HDI: } [-0.0110, +0.0270]</w:t>
      </w:r>
      <w:r>
        <w:t>), confirming that in-plane linear calipers are robust against contrast-induced intensity shifts.</w:t>
      </w:r>
    </w:p>
    <w:p>
      <w:pPr>
        <w:pStyle w:val="ListNumber"/>
        <w:spacing w:before="20" w:after="40"/>
      </w:pPr>
      <w:r>
        <w:rPr>
          <w:b/>
        </w:rPr>
        <w:t>Site-Level Variance Fraction Dominance ($\text{ICC}_{\text{site}} \approx 47.0\%\text{--}68.8\%$):</w:t>
      </w:r>
    </w:p>
    <w:p>
      <w:pPr>
        <w:spacing w:before="0" w:after="100" w:line="276" w:lineRule="auto"/>
      </w:pPr>
      <w:r>
        <w:t xml:space="preserve">   Variance partitioning revealed that institutional site clustering accounts for a commanding fraction of modeled variance: at the isotropic 1.0 mm reference scale, site accounts for </w:t>
      </w:r>
      <w:r>
        <w:rPr>
          <w:b/>
        </w:rPr>
        <w:t>$68.8\%$ of total variance in Evans' Index</w:t>
      </w:r>
      <w:r>
        <w:t xml:space="preserve"> (</w:t>
      </w:r>
      <w:r>
        <w:rPr>
          <w:rFonts w:ascii="Cambria Math" w:hAnsi="Cambria Math"/>
          <w:i/>
        </w:rPr>
        <w:t>\text{ICC}_{\text{site}}^{1\text{mm}} = 0.6880, 95\%\text{ HDI: } [0.4510, 0.9020]</w:t>
      </w:r>
      <w:r>
        <w:t xml:space="preserve">) and </w:t>
      </w:r>
      <w:r>
        <w:rPr>
          <w:b/>
        </w:rPr>
        <w:t>$61.5\%$ in PEF</w:t>
      </w:r>
      <w:r>
        <w:t xml:space="preserve"> (</w:t>
      </w:r>
      <w:r>
        <w:rPr>
          <w:rFonts w:ascii="Cambria Math" w:hAnsi="Cambria Math"/>
          <w:i/>
        </w:rPr>
        <w:t>\text{ICC}_{\text{site}}^{1\text{mm}} = 0.6150, 95\%\text{ HDI: } [0.3430, 0.8840]</w:t>
      </w:r>
      <w:r>
        <w:t xml:space="preserve">). When accounting for the higher average noise of thick-slice scans across the authentic clinical cohort, site clustering still represents </w:t>
      </w:r>
      <w:r>
        <w:rPr>
          <w:b/>
        </w:rPr>
        <w:t>$56.4\%$ for Evans' Index</w:t>
      </w:r>
      <w:r>
        <w:t xml:space="preserve"> (</w:t>
      </w:r>
      <w:r>
        <w:rPr>
          <w:rFonts w:ascii="Cambria Math" w:hAnsi="Cambria Math"/>
          <w:i/>
        </w:rPr>
        <w:t>\text{ICC}_{\text{site}}^{\text{clinical}} = 0.5640, 95\%\text{ HDI: } [0.3010, 0.8190]</w:t>
      </w:r>
      <w:r>
        <w:t xml:space="preserve">) and </w:t>
      </w:r>
      <w:r>
        <w:rPr>
          <w:b/>
        </w:rPr>
        <w:t>$47.0\%$ for PEF</w:t>
      </w:r>
      <w:r>
        <w:t xml:space="preserve"> (</w:t>
      </w:r>
      <w:r>
        <w:rPr>
          <w:rFonts w:ascii="Cambria Math" w:hAnsi="Cambria Math"/>
          <w:i/>
        </w:rPr>
        <w:t>\text{ICC}_{\text{site}}^{\text{clinical}} = 0.4700, 95\%\text{ HDI: } [0.1860, 0.7700]</w:t>
      </w:r>
      <w:r>
        <w:t xml:space="preserve">). In contrast, diagnostic group differences account for only </w:t>
      </w:r>
      <w:r>
        <w:rPr>
          <w:rFonts w:ascii="Cambria Math" w:hAnsi="Cambria Math"/>
          <w:i/>
        </w:rPr>
        <w:t>3.2\%\text{--}5.8\%</w:t>
      </w:r>
      <w:r>
        <w:t xml:space="preserve"> of total variance. This demonstrates that raw, unadjusted morphometric comparisons across multi-center hospital archives predominantly reflect institutional clustering and acquisition protocols rather than underlying neurobiology.</w:t>
      </w:r>
    </w:p>
    <w:p>
      <w:pPr>
        <w:spacing w:before="120" w:after="120" w:line="120" w:lineRule="auto"/>
      </w:pPr>
      <w:r>
        <w:rPr>
          <w:color w:val="C8C8C8"/>
        </w:rPr>
        <w:t>―――――――――――――――――――――――――――――――――――――――――――――</w:t>
      </w:r>
    </w:p>
    <w:p>
      <w:pPr>
        <w:spacing w:before="240" w:after="80"/>
      </w:pPr>
      <w:r>
        <w:rPr>
          <w:rFonts w:ascii="Arial" w:hAnsi="Arial"/>
          <w:b/>
          <w:color w:val="1E325A"/>
          <w:sz w:val="24"/>
        </w:rPr>
        <w:t>3.4 Model Benchmarking &amp; Posterior Shrinkage</w:t>
      </w:r>
    </w:p>
    <w:p>
      <w:pPr>
        <w:spacing w:before="0" w:after="100" w:line="276" w:lineRule="auto"/>
      </w:pPr>
      <w:r>
        <w:t>Figure 3 and Table 6 illustrate the progression from Naive OLS to Covariate-Adjusted OLS and Hierarchical Bayesian Partial Pooling for detecting Dementia-associated morphometric changes.</w:t>
      </w:r>
    </w:p>
    <w:p>
      <w:pPr>
        <w:spacing w:before="120" w:after="120" w:line="252" w:lineRule="auto"/>
      </w:pPr>
      <w:r>
        <w:rPr>
          <w:rFonts w:ascii="Consolas" w:hAnsi="Consolas"/>
          <w:color w:val="282828"/>
          <w:sz w:val="16"/>
        </w:rPr>
        <w:t>Table 6: Model Progression Benchmarking (Dementia Effect on Evans' Index, N=209)</w:t>
        <w:br/>
        <w:t>┌─────────────────────────────────┬────────────────────┬─────────────────────────┬────────────────────────────┐</w:t>
        <w:br/>
        <w:t>│ Model Specification             │ Estimate (SE / SD) │ 95% Conf. / Cred. Interval│ Inferential Assessment   │</w:t>
        <w:br/>
        <w:t>├─────────────────────────────────┼────────────────────┼─────────────────────────┼────────────────────────────┤</w:t>
        <w:br/>
        <w:t>│ Model 0: Naive OLS              │  -0.0335 (0.0105)  │  [-0.0541,  -0.0128]    │ Spurious precision (bias)  │</w:t>
        <w:br/>
        <w:t>│ Model 1: Covariate-Adjusted OLS │  -0.0356 (0.0151)  │  [-0.0653,  -0.0059]    │ Variance inflation         │</w:t>
        <w:br/>
        <w:t>│ Model 2: Bayesian Partial Pool  │  -0.0020 (0.0080)  │  [-0.0190,  +0.0120]    │ Honest shrinkage &amp; bounds  │</w:t>
        <w:br/>
        <w:t>└─────────────────────────────────┴────────────────────┴─────────────────────────┴────────────────────────────┘</w:t>
      </w:r>
    </w:p>
    <w:p>
      <w:pPr>
        <w:pStyle w:val="ListBullet"/>
        <w:spacing w:before="20" w:after="40"/>
      </w:pPr>
      <w:r>
        <w:rPr>
          <w:b/>
        </w:rPr>
        <w:t>The Spurious Precision of Naive OLS:</w:t>
      </w:r>
      <w:r>
        <w:t xml:space="preserve"> Naive OLS estimates a statistically significant Dementia effect (</w:t>
      </w:r>
      <w:r>
        <w:rPr>
          <w:rFonts w:ascii="Cambria Math" w:hAnsi="Cambria Math"/>
          <w:i/>
        </w:rPr>
        <w:t>\beta = -0.0335, p = 0.0016</w:t>
      </w:r>
      <w:r>
        <w:t>), but it completely ignores the fact that Dementia patients were disproportionately imaged at specific institutions (e.g., BMH and LifeBridge) on low-field or thick-slice scanners.</w:t>
      </w:r>
    </w:p>
    <w:p>
      <w:pPr>
        <w:pStyle w:val="ListBullet"/>
        <w:spacing w:before="20" w:after="40"/>
      </w:pPr>
      <w:r>
        <w:rPr>
          <w:b/>
        </w:rPr>
        <w:t>Covariate-Adjusted OLS Inflation:</w:t>
      </w:r>
      <w:r>
        <w:t xml:space="preserve"> Adjusting for contrast and thickness widens the confidence interval by </w:t>
      </w:r>
      <w:r>
        <w:rPr>
          <w:rFonts w:ascii="Cambria Math" w:hAnsi="Cambria Math"/>
          <w:i/>
        </w:rPr>
        <w:t>44\%</w:t>
      </w:r>
      <w:r>
        <w:t xml:space="preserve"> (</w:t>
      </w:r>
      <w:r>
        <w:rPr>
          <w:rFonts w:ascii="Cambria Math" w:hAnsi="Cambria Math"/>
          <w:i/>
        </w:rPr>
        <w:t>\text{SE} = 0.0151</w:t>
      </w:r>
      <w:r>
        <w:t>), reflecting loss of precision when covariates are entangled with diagnosis.</w:t>
      </w:r>
    </w:p>
    <w:p>
      <w:pPr>
        <w:pStyle w:val="ListBullet"/>
        <w:spacing w:before="20" w:after="40"/>
      </w:pPr>
      <w:r>
        <w:rPr>
          <w:b/>
        </w:rPr>
        <w:t>Bayesian Partial Pooling:</w:t>
      </w:r>
      <w:r>
        <w:t xml:space="preserve"> The hierarchical prior recognizes that group sample sizes (e.g., Epilepsy </w:t>
      </w:r>
      <w:r>
        <w:rPr>
          <w:rFonts w:ascii="Cambria Math" w:hAnsi="Cambria Math"/>
          <w:i/>
        </w:rPr>
        <w:t>N=7</w:t>
      </w:r>
      <w:r>
        <w:t>) and between-site variations cannot support extreme group claims, shrinking estimates conservatively toward the grand mean (</w:t>
      </w:r>
      <w:r>
        <w:rPr>
          <w:rFonts w:ascii="Cambria Math" w:hAnsi="Cambria Math"/>
          <w:i/>
        </w:rPr>
        <w:t>\beta = -0.0020, 95\%\text{ HDI: } [-0.0190, +0.0120]</w:t>
      </w:r>
      <w:r>
        <w:t>) while reporting calibrated posterior uncertainty.</w:t>
      </w:r>
    </w:p>
    <w:p>
      <w:pPr>
        <w:spacing w:before="240" w:after="80"/>
        <w:jc w:val="center"/>
      </w:pPr>
      <w:r>
        <w:drawing>
          <wp:inline xmlns:a="http://schemas.openxmlformats.org/drawingml/2006/main" xmlns:pic="http://schemas.openxmlformats.org/drawingml/2006/picture">
            <wp:extent cx="5669280" cy="2447446"/>
            <wp:docPr id="4" name="Picture 4"/>
            <wp:cNvGraphicFramePr>
              <a:graphicFrameLocks noChangeAspect="1"/>
            </wp:cNvGraphicFramePr>
            <a:graphic>
              <a:graphicData uri="http://schemas.openxmlformats.org/drawingml/2006/picture">
                <pic:pic>
                  <pic:nvPicPr>
                    <pic:cNvPr id="0" name="figure3_posterior_shrinkage_forest.png"/>
                    <pic:cNvPicPr/>
                  </pic:nvPicPr>
                  <pic:blipFill>
                    <a:blip r:embed="rId12"/>
                    <a:stretch>
                      <a:fillRect/>
                    </a:stretch>
                  </pic:blipFill>
                  <pic:spPr>
                    <a:xfrm>
                      <a:off x="0" y="0"/>
                      <a:ext cx="5669280" cy="2447446"/>
                    </a:xfrm>
                    <a:prstGeom prst="rect"/>
                  </pic:spPr>
                </pic:pic>
              </a:graphicData>
            </a:graphic>
          </wp:inline>
        </w:drawing>
      </w:r>
    </w:p>
    <w:p>
      <w:pPr>
        <w:spacing w:before="40" w:after="280"/>
        <w:jc w:val="center"/>
      </w:pPr>
      <w:r>
        <w:rPr>
          <w:i/>
          <w:color w:val="505050"/>
          <w:sz w:val="19"/>
        </w:rPr>
        <w:t>Figure 3: Posterior Shrinkage Forest Plot. Comparison of group-level parameter estimates across Naive OLS, Covariate-Adjusted OLS, and the Hierarchical Bayesian model across the detectability gradient (Hydrocephalus, Dementia, Epilepsy, Parkinson's Disease).</w:t>
      </w:r>
    </w:p>
    <w:p>
      <w:pPr>
        <w:spacing w:before="120" w:after="120" w:line="120" w:lineRule="auto"/>
      </w:pPr>
      <w:r>
        <w:rPr>
          <w:color w:val="C8C8C8"/>
        </w:rPr>
        <w:t>―――――――――――――――――――――――――――――――――――――――――――――</w:t>
      </w:r>
    </w:p>
    <w:p>
      <w:pPr>
        <w:spacing w:before="240" w:after="80"/>
      </w:pPr>
      <w:r>
        <w:rPr>
          <w:rFonts w:ascii="Arial" w:hAnsi="Arial"/>
          <w:b/>
          <w:color w:val="1E325A"/>
          <w:sz w:val="24"/>
        </w:rPr>
        <w:t>3.5 Confounding Sensitivity Analysis &amp; Prior Shrinkage</w:t>
      </w:r>
    </w:p>
    <w:p>
      <w:pPr>
        <w:spacing w:before="0" w:after="100" w:line="276" w:lineRule="auto"/>
      </w:pPr>
      <w:r>
        <w:t>Table 7 and Figure 4 present the confounding sensitivity analyses across cohort subsets.</w:t>
      </w:r>
    </w:p>
    <w:p>
      <w:pPr>
        <w:spacing w:before="120" w:after="120" w:line="252" w:lineRule="auto"/>
      </w:pPr>
      <w:r>
        <w:rPr>
          <w:rFonts w:ascii="Consolas" w:hAnsi="Consolas"/>
          <w:color w:val="282828"/>
          <w:sz w:val="16"/>
        </w:rPr>
        <w:t>Table 7: Posterior Parameter Estimates across Cohort Subsets (Mean [95% Highest Density Interval])</w:t>
        <w:br/>
        <w:t>┌─────────────────────────┬──────────────────────────┬──────────────────────────┬──────────────────────────┐</w:t>
        <w:br/>
        <w:t>│ Cohort Subsetting       │ Dementia (β_DEM)         │ Hydrocephalus (β_HYD)    │ Parkinson (β_PD)         │</w:t>
        <w:br/>
        <w:t>├─────────────────────────┼──────────────────────────┼──────────────────────────┼──────────────────────────┤</w:t>
        <w:br/>
        <w:t>│ Full Cohort (N=209)     │ -0.0020 [-0.020, +0.012] │ -0.0080 [-0.028, +0.006] │ +0.0020 [-0.016, +0.020] │</w:t>
        <w:br/>
        <w:t>│ Unenhanced Only (N=126) │ -0.0100 [-0.036, +0.013] │ -0.0180 [-0.049, +0.006] │ -0.0050 [-0.030, +0.018] │</w:t>
        <w:br/>
        <w:t>│ Excl. RSUTH (N=127)     │ -0.0140 [-0.035, +0.003] │ -0.0010 [-0.023, +0.021] │ -0.0150 [-0.041, +0.004] │</w:t>
        <w:br/>
        <w:t>└─────────────────────────┴──────────────────────────┴──────────────────────────┴──────────────────────────┘</w:t>
      </w:r>
    </w:p>
    <w:p>
      <w:pPr>
        <w:pStyle w:val="ListBullet"/>
        <w:spacing w:before="20" w:after="40"/>
      </w:pPr>
      <w:r>
        <w:rPr>
          <w:b/>
        </w:rPr>
        <w:t>Overlapping Credible Intervals with Sign Flips:</w:t>
      </w:r>
      <w:r>
        <w:t xml:space="preserve"> Sensitivity analyses produced overlapping posterior intervals across restricted subsets, while several point estimates changed sign: Parkinson's disease flipped from </w:t>
      </w:r>
      <w:r>
        <w:rPr>
          <w:rFonts w:ascii="Cambria Math" w:hAnsi="Cambria Math"/>
          <w:i/>
        </w:rPr>
        <w:t>+0.0020</w:t>
      </w:r>
      <w:r>
        <w:t xml:space="preserve"> in the full cohort to </w:t>
      </w:r>
      <w:r>
        <w:rPr>
          <w:rFonts w:ascii="Cambria Math" w:hAnsi="Cambria Math"/>
          <w:i/>
        </w:rPr>
        <w:t>-0.0050</w:t>
      </w:r>
      <w:r>
        <w:t xml:space="preserve"> under contrast exclusion and </w:t>
      </w:r>
      <w:r>
        <w:rPr>
          <w:rFonts w:ascii="Cambria Math" w:hAnsi="Cambria Math"/>
          <w:i/>
        </w:rPr>
        <w:t>-0.0150</w:t>
      </w:r>
      <w:r>
        <w:t xml:space="preserve"> under RSUTH site-pruning, while Hydrocephalus shifted from </w:t>
      </w:r>
      <w:r>
        <w:rPr>
          <w:rFonts w:ascii="Cambria Math" w:hAnsi="Cambria Math"/>
          <w:i/>
        </w:rPr>
        <w:t>-0.0080</w:t>
      </w:r>
      <w:r>
        <w:t xml:space="preserve"> to </w:t>
      </w:r>
      <w:r>
        <w:rPr>
          <w:rFonts w:ascii="Cambria Math" w:hAnsi="Cambria Math"/>
          <w:i/>
        </w:rPr>
        <w:t>-0.0180</w:t>
      </w:r>
      <w:r>
        <w:t xml:space="preserve"> and </w:t>
      </w:r>
      <w:r>
        <w:rPr>
          <w:rFonts w:ascii="Cambria Math" w:hAnsi="Cambria Math"/>
          <w:i/>
        </w:rPr>
        <w:t>-0.0010</w:t>
      </w:r>
      <w:r>
        <w:t xml:space="preserve">. Rather than asserting directional stability, this finding reinforces the fundamental insight of this work: </w:t>
      </w:r>
      <w:r>
        <w:rPr>
          <w:b/>
        </w:rPr>
        <w:t>a morphometric measurement can survive blur while a disease contrast remains non-identifiable because of observational confounding</w:t>
      </w:r>
      <w:r>
        <w:t>.</w:t>
      </w:r>
    </w:p>
    <w:p>
      <w:pPr>
        <w:pStyle w:val="ListBullet"/>
        <w:spacing w:before="20" w:after="40"/>
      </w:pPr>
      <w:r>
        <w:rPr>
          <w:b/>
        </w:rPr>
        <w:t>Stability Under Contrast Exclusion ($N=126$):</w:t>
      </w:r>
      <w:r>
        <w:t xml:space="preserve"> Eliminating all contrast-enhanced scans removes potential gadolinium bias; credible intervals widen as expected with reduced sample size, but span zero consistently.</w:t>
      </w:r>
    </w:p>
    <w:p>
      <w:pPr>
        <w:pStyle w:val="ListBullet"/>
        <w:spacing w:before="20" w:after="40"/>
      </w:pPr>
      <w:r>
        <w:rPr>
          <w:b/>
        </w:rPr>
        <w:t>Stability Under Site-Pruning (Excluding RSUTH, $N=127$ retained):</w:t>
      </w:r>
      <w:r>
        <w:t xml:space="preserve"> Dropping the single largest participating center (RSUTH, </w:t>
      </w:r>
      <w:r>
        <w:rPr>
          <w:rFonts w:ascii="Cambria Math" w:hAnsi="Cambria Math"/>
          <w:i/>
        </w:rPr>
        <w:t>n=85</w:t>
      </w:r>
      <w:r>
        <w:t>) confirms that the posterior estimates are not driven by a single dominant hospital protocol, while illustrating how site pruning shifts group balances.</w:t>
      </w:r>
    </w:p>
    <w:p>
      <w:pPr>
        <w:pStyle w:val="ListBullet"/>
        <w:spacing w:before="20" w:after="40"/>
      </w:pPr>
      <w:r>
        <w:rPr>
          <w:b/>
        </w:rPr>
        <w:t>Prior Shrinkage Sensitivity (Fixed Regularized vs. Hierarchical Random Effects):</w:t>
      </w:r>
      <w:r>
        <w:t xml:space="preserve"> To test whether the near-zero disease coefficients were an artifact of aggressive hierarchical shrinkage across five groups (</w:t>
      </w:r>
      <w:r>
        <w:rPr>
          <w:rFonts w:ascii="Cambria Math" w:hAnsi="Cambria Math"/>
          <w:i/>
        </w:rPr>
        <w:t>\tau_\beta</w:t>
      </w:r>
      <w:r>
        <w:t>), we evaluated a sensitivity model treating diagnosis as regularized fixed effects (</w:t>
      </w:r>
      <w:r>
        <w:rPr>
          <w:rFonts w:ascii="Cambria Math" w:hAnsi="Cambria Math"/>
          <w:i/>
        </w:rPr>
        <w:t>\beta_d \sim \mathcal{N}(0, 0.05^2)</w:t>
      </w:r>
      <w:r>
        <w:t xml:space="preserve">) without estimating a shared hyperprior </w:t>
      </w:r>
      <w:r>
        <w:rPr>
          <w:rFonts w:ascii="Cambria Math" w:hAnsi="Cambria Math"/>
          <w:i/>
        </w:rPr>
        <w:t>\tau_\beta</w:t>
      </w:r>
      <w:r>
        <w:t>. Under this fixed-effects specification, 95% posterior credible intervals still uniformly crossed zero across all categories: Dementia (</w:t>
      </w:r>
      <w:r>
        <w:rPr>
          <w:rFonts w:ascii="Cambria Math" w:hAnsi="Cambria Math"/>
          <w:i/>
        </w:rPr>
        <w:t>\beta = -0.010 \pm 0.013, 95\%\text{ HDI: } [-0.034, +0.014]</w:t>
      </w:r>
      <w:r>
        <w:t>), Hydrocephalus (</w:t>
      </w:r>
      <w:r>
        <w:rPr>
          <w:rFonts w:ascii="Cambria Math" w:hAnsi="Cambria Math"/>
          <w:i/>
        </w:rPr>
        <w:t>\beta = -0.021 \pm 0.013, 95\%\text{ HDI: } [-0.046, +0.006]</w:t>
      </w:r>
      <w:r>
        <w:t>), Parkinson's (</w:t>
      </w:r>
      <w:r>
        <w:rPr>
          <w:rFonts w:ascii="Cambria Math" w:hAnsi="Cambria Math"/>
          <w:i/>
        </w:rPr>
        <w:t>\beta = -0.000 \pm 0.015, 95\%\text{ HDI: } [-0.030, +0.027]</w:t>
      </w:r>
      <w:r>
        <w:t>), and Epilepsy (</w:t>
      </w:r>
      <w:r>
        <w:rPr>
          <w:rFonts w:ascii="Cambria Math" w:hAnsi="Cambria Math"/>
          <w:i/>
        </w:rPr>
        <w:t>\beta = -0.014 \pm 0.019, 95\%\text{ HDI: } [-0.054, +0.022]</w:t>
      </w:r>
      <w:r>
        <w:t>). This confirms that weak disease identifiability is driven by intrinsic observational entanglement between sites and protocols, rather than excessive hierarchical shrinkage.</w:t>
      </w:r>
    </w:p>
    <w:p>
      <w:pPr>
        <w:spacing w:before="240" w:after="80"/>
        <w:jc w:val="center"/>
      </w:pPr>
      <w:r>
        <w:drawing>
          <wp:inline xmlns:a="http://schemas.openxmlformats.org/drawingml/2006/main" xmlns:pic="http://schemas.openxmlformats.org/drawingml/2006/picture">
            <wp:extent cx="5669280" cy="2445220"/>
            <wp:docPr id="5" name="Picture 5"/>
            <wp:cNvGraphicFramePr>
              <a:graphicFrameLocks noChangeAspect="1"/>
            </wp:cNvGraphicFramePr>
            <a:graphic>
              <a:graphicData uri="http://schemas.openxmlformats.org/drawingml/2006/picture">
                <pic:pic>
                  <pic:nvPicPr>
                    <pic:cNvPr id="0" name="figure4_variance_partitioning_sensitivity.png"/>
                    <pic:cNvPicPr/>
                  </pic:nvPicPr>
                  <pic:blipFill>
                    <a:blip r:embed="rId13"/>
                    <a:stretch>
                      <a:fillRect/>
                    </a:stretch>
                  </pic:blipFill>
                  <pic:spPr>
                    <a:xfrm>
                      <a:off x="0" y="0"/>
                      <a:ext cx="5669280" cy="2445220"/>
                    </a:xfrm>
                    <a:prstGeom prst="rect"/>
                  </pic:spPr>
                </pic:pic>
              </a:graphicData>
            </a:graphic>
          </wp:inline>
        </w:drawing>
      </w:r>
    </w:p>
    <w:p>
      <w:pPr>
        <w:spacing w:before="40" w:after="280"/>
        <w:jc w:val="center"/>
      </w:pPr>
      <w:r>
        <w:rPr>
          <w:i/>
          <w:color w:val="505050"/>
          <w:sz w:val="19"/>
        </w:rPr>
        <w:t>Figure 4: Variance Partitioning &amp; Sensitivity Analysis. (A) Variance decomposition showing the site-level variance fraction (ICC_site ≈ 47.0%–68.8%) over biological disease variance (ICC_disorder ≈ 3.2%–5.8%). (B) Posterior disease effect distributions across cohort subsets (Full cohort vs. Unenhanced-only vs. Site-pruned).</w:t>
      </w:r>
    </w:p>
    <w:p>
      <w:pPr>
        <w:spacing w:before="120" w:after="120" w:line="120" w:lineRule="auto"/>
      </w:pPr>
      <w:r>
        <w:rPr>
          <w:color w:val="C8C8C8"/>
        </w:rPr>
        <w:t>―――――――――――――――――――――――――――――――――――――――――――――</w:t>
      </w:r>
    </w:p>
    <w:p>
      <w:pPr>
        <w:spacing w:before="240" w:after="80"/>
      </w:pPr>
      <w:r>
        <w:rPr>
          <w:rFonts w:ascii="Arial" w:hAnsi="Arial"/>
          <w:b/>
          <w:color w:val="1E325A"/>
          <w:sz w:val="24"/>
        </w:rPr>
        <w:t>3.6 Posterior Predictive Checks &amp; Generative Model Assessment</w:t>
      </w:r>
    </w:p>
    <w:p>
      <w:pPr>
        <w:spacing w:before="0" w:after="100" w:line="276" w:lineRule="auto"/>
      </w:pPr>
      <w:r>
        <w:t>To evaluate whether the hierarchical generative model faithfully reproduces empirical data characteristics—and to empirically assess whether bounded morphometric metrics (</w:t>
      </w:r>
      <w:r>
        <w:rPr>
          <w:rFonts w:ascii="Cambria Math" w:hAnsi="Cambria Math"/>
          <w:i/>
        </w:rPr>
        <w:t>0 &lt; EI, PEF &lt; 1</w:t>
      </w:r>
      <w:r>
        <w:t>) can be modeled appropriately with heteroskedastic Gaussian likelihoods—we conducted systematic Posterior Predictive Checks (</w:t>
      </w:r>
      <w:r>
        <w:rPr>
          <w:rFonts w:ascii="Cambria Math" w:hAnsi="Cambria Math"/>
          <w:i/>
        </w:rPr>
        <w:t>y^{\text{rep}} \sim p(y \mid \theta)</w:t>
      </w:r>
      <w:r>
        <w:t>) across 2,000 posterior draws per subject (</w:t>
      </w:r>
      <w:r>
        <w:rPr>
          <w:rFonts w:ascii="Cambria Math" w:hAnsi="Cambria Math"/>
          <w:i/>
        </w:rPr>
        <w:t>N=209</w:t>
      </w:r>
      <w:r>
        <w:t>).</w:t>
      </w:r>
    </w:p>
    <w:p>
      <w:pPr>
        <w:spacing w:before="120" w:after="120" w:line="252" w:lineRule="auto"/>
      </w:pPr>
      <w:r>
        <w:rPr>
          <w:rFonts w:ascii="Consolas" w:hAnsi="Consolas"/>
          <w:color w:val="282828"/>
          <w:sz w:val="16"/>
        </w:rPr>
        <w:t>Table 8: Posterior Predictive Checks &amp; Empirical Boundary Coverage Evaluation (N=209 Valid Scans)</w:t>
        <w:br/>
        <w:t>┌─────────────────────────────────┬─────────────────────────┬─────────────────────────┬───────────────────┬───────────────────┐</w:t>
        <w:br/>
        <w:t>│ Morphometric Target Metric      │ Observed (Mean ± SD)    │ Replicated (Mean ± SD)  │ P(y_rep &lt; 0.0)    │ P(y_rep &gt; 1.0)    │</w:t>
        <w:br/>
        <w:t>├─────────────────────────────────┼─────────────────────────┼─────────────────────────┼───────────────────┼───────────────────┤</w:t>
        <w:br/>
        <w:t>│ Evans' Index (EI)               │    0.6218 ± 0.0771      │    0.6214 ± 0.0776      │      0.0000 %     │      0.0000 %     │</w:t>
        <w:br/>
        <w:t>│ Parenchymal Envelope (PEF)      │    0.8157 ± 0.0776      │    0.8172 ± 0.0791      │      0.0000 %     │      0.6366 %     │</w:t>
        <w:br/>
        <w:t>│ Ventricle-to-Brain Ratio (VBR)  │    0.0103 ± 0.0105      │    0.0103 ± 0.0108      │     16.8871 %     │      0.0000 %     │</w:t>
        <w:br/>
        <w:t>└─────────────────────────────────┴─────────────────────────┴─────────────────────────┴───────────────────┴───────────────────┘</w:t>
      </w:r>
    </w:p>
    <w:p>
      <w:pPr>
        <w:spacing w:before="0" w:after="100" w:line="276" w:lineRule="auto"/>
      </w:pPr>
      <w:r>
        <w:t>Figure 5 illustrates the empirical posterior predictive density overlays compared against observed distributions:</w:t>
      </w:r>
    </w:p>
    <w:p>
      <w:pPr>
        <w:pStyle w:val="ListBullet"/>
        <w:spacing w:before="20" w:after="40"/>
      </w:pPr>
      <w:r>
        <w:rPr>
          <w:b/>
        </w:rPr>
        <w:t>Good Posterior Predictive Agreement for Evans' Index:</w:t>
      </w:r>
      <w:r>
        <w:t xml:space="preserve"> Replicated draws closely match the empirical mean (</w:t>
      </w:r>
      <w:r>
        <w:rPr>
          <w:rFonts w:ascii="Cambria Math" w:hAnsi="Cambria Math"/>
          <w:i/>
        </w:rPr>
        <w:t>0.6214</w:t>
      </w:r>
      <w:r>
        <w:t xml:space="preserve"> vs. </w:t>
      </w:r>
      <w:r>
        <w:rPr>
          <w:rFonts w:ascii="Cambria Math" w:hAnsi="Cambria Math"/>
          <w:i/>
        </w:rPr>
        <w:t>0.6218</w:t>
      </w:r>
      <w:r>
        <w:t>) and variance (</w:t>
      </w:r>
      <w:r>
        <w:rPr>
          <w:rFonts w:ascii="Cambria Math" w:hAnsi="Cambria Math"/>
          <w:i/>
        </w:rPr>
        <w:t>0.0776</w:t>
      </w:r>
      <w:r>
        <w:t xml:space="preserve"> vs. </w:t>
      </w:r>
      <w:r>
        <w:rPr>
          <w:rFonts w:ascii="Cambria Math" w:hAnsi="Cambria Math"/>
          <w:i/>
        </w:rPr>
        <w:t>0.0771</w:t>
      </w:r>
      <w:r>
        <w:t xml:space="preserve">). Crucially, </w:t>
      </w:r>
      <w:r>
        <w:rPr>
          <w:b/>
        </w:rPr>
        <w:t>zero percent ($0.0000\%$) of simulated draws fall below 0 or exceed 1</w:t>
      </w:r>
      <w:r>
        <w:t>, confirming that because observed Evans' Index values reside well within the interior of the unit interval (</w:t>
      </w:r>
      <w:r>
        <w:rPr>
          <w:rFonts w:ascii="Cambria Math" w:hAnsi="Cambria Math"/>
          <w:i/>
        </w:rPr>
        <w:t>\approx 0.28-0.74</w:t>
      </w:r>
      <w:r>
        <w:t xml:space="preserve">, </w:t>
      </w:r>
      <w:r>
        <w:rPr>
          <w:rFonts w:ascii="Cambria Math" w:hAnsi="Cambria Math"/>
          <w:i/>
        </w:rPr>
        <w:t>&gt;4\sigma</w:t>
      </w:r>
      <w:r>
        <w:t xml:space="preserve"> from either boundary), the Gaussian likelihood does not introduce boundary artifacts.</w:t>
      </w:r>
    </w:p>
    <w:p>
      <w:pPr>
        <w:pStyle w:val="ListBullet"/>
        <w:spacing w:before="20" w:after="40"/>
      </w:pPr>
      <w:r>
        <w:rPr>
          <w:b/>
        </w:rPr>
        <w:t>Minimal Boundary Spill for PEF:</w:t>
      </w:r>
      <w:r>
        <w:t xml:space="preserve"> Replicated PEF distributions exhibit close agreement with empirical moments (</w:t>
      </w:r>
      <w:r>
        <w:rPr>
          <w:rFonts w:ascii="Cambria Math" w:hAnsi="Cambria Math"/>
          <w:i/>
        </w:rPr>
        <w:t>\mu = 0.8172, \sigma = 0.0791</w:t>
      </w:r>
      <w:r>
        <w:t xml:space="preserve">), with </w:t>
      </w:r>
      <w:r>
        <w:rPr>
          <w:b/>
        </w:rPr>
        <w:t>$99.36\%$ of all simulated draws strictly bounded within $[0, 1]$</w:t>
      </w:r>
      <w:r>
        <w:t>. The upper-tail exceedance (</w:t>
      </w:r>
      <w:r>
        <w:rPr>
          <w:rFonts w:ascii="Cambria Math" w:hAnsi="Cambria Math"/>
          <w:i/>
        </w:rPr>
        <w:t>0.64\%</w:t>
      </w:r>
      <w:r>
        <w:t>) is negligible and does not distort parameter estimation.</w:t>
      </w:r>
    </w:p>
    <w:p>
      <w:pPr>
        <w:pStyle w:val="ListBullet"/>
        <w:spacing w:before="20" w:after="40"/>
      </w:pPr>
      <w:r>
        <w:rPr>
          <w:b/>
        </w:rPr>
        <w:t>Boundary Incompatibility of 3D VBR:</w:t>
      </w:r>
      <w:r>
        <w:t xml:space="preserve"> In contrast, because 3D Ventricle-to-Brain Ratio is close to zero (</w:t>
      </w:r>
      <w:r>
        <w:rPr>
          <w:rFonts w:ascii="Cambria Math" w:hAnsi="Cambria Math"/>
          <w:i/>
        </w:rPr>
        <w:t>\mu = 0.0103, \sigma = 0.0105</w:t>
      </w:r>
      <w:r>
        <w:t xml:space="preserve">), symmetric Gaussian noise results in </w:t>
      </w:r>
      <w:r>
        <w:rPr>
          <w:b/>
        </w:rPr>
        <w:t>$16.89\%$ of replicated draws crossing below zero</w:t>
      </w:r>
      <w:r>
        <w:t>. Posterior predictive checking independently identified VBR as incompatible with an unconstrained Gaussian observation model, reinforcing the controlled-degradation finding from Experiment 1 that VBR is unsuitable as a robust primary biomarker in this dataset, and demonstrating that volume fraction metrics require log-normal or bounded Gamma likelihoods if attempted in routine clinical archives.</w:t>
      </w:r>
    </w:p>
    <w:p>
      <w:pPr>
        <w:spacing w:before="240" w:after="80"/>
        <w:jc w:val="center"/>
      </w:pPr>
      <w:r>
        <w:drawing>
          <wp:inline xmlns:a="http://schemas.openxmlformats.org/drawingml/2006/main" xmlns:pic="http://schemas.openxmlformats.org/drawingml/2006/picture">
            <wp:extent cx="5669280" cy="1693890"/>
            <wp:docPr id="6" name="Picture 6"/>
            <wp:cNvGraphicFramePr>
              <a:graphicFrameLocks noChangeAspect="1"/>
            </wp:cNvGraphicFramePr>
            <a:graphic>
              <a:graphicData uri="http://schemas.openxmlformats.org/drawingml/2006/picture">
                <pic:pic>
                  <pic:nvPicPr>
                    <pic:cNvPr id="0" name="figure5_posterior_predictive_checks.png"/>
                    <pic:cNvPicPr/>
                  </pic:nvPicPr>
                  <pic:blipFill>
                    <a:blip r:embed="rId14"/>
                    <a:stretch>
                      <a:fillRect/>
                    </a:stretch>
                  </pic:blipFill>
                  <pic:spPr>
                    <a:xfrm>
                      <a:off x="0" y="0"/>
                      <a:ext cx="5669280" cy="1693890"/>
                    </a:xfrm>
                    <a:prstGeom prst="rect"/>
                  </pic:spPr>
                </pic:pic>
              </a:graphicData>
            </a:graphic>
          </wp:inline>
        </w:drawing>
      </w:r>
    </w:p>
    <w:p>
      <w:pPr>
        <w:spacing w:before="40" w:after="280"/>
        <w:jc w:val="center"/>
      </w:pPr>
      <w:r>
        <w:rPr>
          <w:i/>
          <w:color w:val="505050"/>
          <w:sz w:val="19"/>
        </w:rPr>
        <w:t>Figure 5: Posterior Predictive Checks. Empirical distribution (solid curves and fill) plotted against 50 individual posterior predictive realizations (light curves) and the predictive mean replication (dashed dark line) for Evans' Index (A), Parenchymal Envelope Fraction (B), and Ventricle-to-Brain Ratio (C).</w:t>
      </w:r>
    </w:p>
    <w:p>
      <w:pPr>
        <w:spacing w:before="120" w:after="120" w:line="120" w:lineRule="auto"/>
      </w:pPr>
      <w:r>
        <w:rPr>
          <w:color w:val="C8C8C8"/>
        </w:rPr>
        <w:t>―――――――――――――――――――――――――――――――――――――――――――――</w:t>
      </w:r>
    </w:p>
    <w:p>
      <w:pPr>
        <w:spacing w:before="320" w:after="120"/>
      </w:pPr>
      <w:r>
        <w:rPr>
          <w:rFonts w:ascii="Arial" w:hAnsi="Arial"/>
          <w:b/>
          <w:color w:val="142D50"/>
          <w:sz w:val="28"/>
        </w:rPr>
        <w:t>4. Discussion</w:t>
      </w:r>
    </w:p>
    <w:p>
      <w:pPr>
        <w:spacing w:before="240" w:after="80"/>
      </w:pPr>
      <w:r>
        <w:rPr>
          <w:rFonts w:ascii="Arial" w:hAnsi="Arial"/>
          <w:b/>
          <w:color w:val="1E325A"/>
          <w:sz w:val="24"/>
        </w:rPr>
        <w:t>4.1 "What Survives the Blur?": Physical and Anatomical Foundations</w:t>
      </w:r>
    </w:p>
    <w:p>
      <w:pPr>
        <w:spacing w:before="0" w:after="100" w:line="276" w:lineRule="auto"/>
      </w:pPr>
      <w:r>
        <w:t>The central question driving this investigation—</w:t>
      </w:r>
      <w:r>
        <w:rPr>
          <w:b/>
        </w:rPr>
        <w:t>"What survives the blur?"</w:t>
      </w:r>
      <w:r>
        <w:t>—addresses a critical limitation in computational neuroimaging. For over two decades, the field has pursued ever finer parcellations of the cerebral cortex and subcortical nuclei, operating on the implicit assumption that high-resolution isotropic imaging is universally available (Fischl, 2012). In global healthcare reality, particularly across sub-Saharan Africa, this assumption is invalid.</w:t>
      </w:r>
    </w:p>
    <w:p>
      <w:pPr>
        <w:spacing w:before="0" w:after="100" w:line="276" w:lineRule="auto"/>
      </w:pPr>
      <w:r>
        <w:t>Our empirical findings from Experiment 1 provide a clear physical answer to this question:</w:t>
      </w:r>
    </w:p>
    <w:p>
      <w:pPr>
        <w:pStyle w:val="ListBullet"/>
        <w:spacing w:before="20" w:after="40"/>
      </w:pPr>
      <w:r>
        <w:rPr>
          <w:b/>
        </w:rPr>
        <w:t>The In-Plane Geometric Invariance Principle:</w:t>
      </w:r>
      <w:r>
        <w:t xml:space="preserve"> Metrics whose anatomical axes of measurement lie entirely within the acquisition plane (transverse slice) are largely immune to through-plane slice-select blur. </w:t>
      </w:r>
      <w:r>
        <w:rPr>
          <w:b/>
        </w:rPr>
        <w:t>Evans' Index exemplifies this principle.</w:t>
      </w:r>
      <w:r>
        <w:t xml:space="preserve"> Because the maximum frontal horn span and internal cranial diameter are measured along the x-y coordinate plane, slice-select partial volume averaging along the z-axis does not shift the lateral edges of the skull or ventricular walls. Consequently, Evans' Index exhibited </w:t>
      </w:r>
      <w:r>
        <w:rPr>
          <w:b/>
        </w:rPr>
        <w:t>$&lt; 2.5\%$ relative error</w:t>
      </w:r>
      <w:r>
        <w:t xml:space="preserve"> even when isotropic scans were degraded to </w:t>
      </w:r>
      <w:r>
        <w:rPr>
          <w:rFonts w:ascii="Cambria Math" w:hAnsi="Cambria Math"/>
          <w:i/>
        </w:rPr>
        <w:t>5.0\text{ mm}</w:t>
      </w:r>
      <w:r>
        <w:t xml:space="preserve"> clinical slice thickness relative to the undegraded high-resolution reference.</w:t>
      </w:r>
    </w:p>
    <w:p>
      <w:pPr>
        <w:pStyle w:val="ListBullet"/>
        <w:spacing w:before="20" w:after="40"/>
      </w:pPr>
      <w:r>
        <w:rPr>
          <w:b/>
        </w:rPr>
        <w:t>The Disintegration of Through-Plane Micro-Morphometry:</w:t>
      </w:r>
      <w:r>
        <w:t xml:space="preserve"> Conversely, when anatomical boundaries cross the slice-select plane—as occurs in the curvilinear surfaces of the hippocampus, the superior/inferior poles of the caudate, and the 3D ventricular envelope—partial volume averaging fusions adjacent tissues into intermediate intensity voxels. Automated boundary-finding algorithms experience edge collapse, yielding </w:t>
      </w:r>
      <w:r>
        <w:rPr>
          <w:b/>
        </w:rPr>
        <w:t>$&gt; 45\%$ volumetric errors</w:t>
      </w:r>
      <w:r>
        <w:t>.</w:t>
      </w:r>
    </w:p>
    <w:p>
      <w:pPr>
        <w:spacing w:before="0" w:after="100" w:line="276" w:lineRule="auto"/>
      </w:pPr>
      <w:r>
        <w:t>This physical reality explains why attempting to run FreeSurfer or FSL FIRST on routine clinical archives is methodologically flawed: one cannot recover subcortical volumes when through-plane voxel dimensions exceed the anatomical thickness of the structures themselves.</w:t>
      </w:r>
    </w:p>
    <w:p>
      <w:pPr>
        <w:spacing w:before="120" w:after="120" w:line="120" w:lineRule="auto"/>
      </w:pPr>
      <w:r>
        <w:rPr>
          <w:color w:val="C8C8C8"/>
        </w:rPr>
        <w:t>―――――――――――――――――――――――――――――――――――――――――――――</w:t>
      </w:r>
    </w:p>
    <w:p>
      <w:pPr>
        <w:spacing w:before="240" w:after="80"/>
      </w:pPr>
      <w:r>
        <w:rPr>
          <w:rFonts w:ascii="Arial" w:hAnsi="Arial"/>
          <w:b/>
          <w:color w:val="1E325A"/>
          <w:sz w:val="24"/>
        </w:rPr>
        <w:t>4.2 The Reality of Routine Clinical Datasets: Uncoupling Biology from Institutional Site Clustering</w:t>
      </w:r>
    </w:p>
    <w:p>
      <w:pPr>
        <w:spacing w:before="0" w:after="100" w:line="276" w:lineRule="auto"/>
      </w:pPr>
      <w:r>
        <w:t>A critical contribution of this study is its honest appraisal of observational clinical archives. In the existing literature, several multi-center studies have pooled clinical MRI scans and applied standard regression models, claiming to discover disease-specific atrophy patterns (e.g., Franke et al., 2010). Our variance partitioning results (Experiment 3) deliver a stark cautionary message:</w:t>
      </w:r>
    </w:p>
    <w:p>
      <w:pPr>
        <w:spacing w:before="120" w:after="120"/>
        <w:jc w:val="center"/>
      </w:pPr>
      <w:r>
        <w:rPr>
          <w:rFonts w:ascii="Cambria Math" w:hAnsi="Cambria Math"/>
          <w:i/>
          <w:sz w:val="23"/>
        </w:rPr>
        <w:t>\text{ICC}_{\text{site}}^{1\text{mm}} \approx 61.5\%\text{--}68.8\%, \quad \text{ICC}_{\text{site}}^{\text{clinical}} \approx 47.0\%\text{--}56.4\% \quad \text{vs.} \quad \text{ICC}_{\text{disorder}} \approx 3.2\%\text{--}5.8\%</w:t>
      </w:r>
    </w:p>
    <w:p>
      <w:pPr>
        <w:spacing w:before="0" w:after="100" w:line="276" w:lineRule="auto"/>
      </w:pPr>
      <w:r>
        <w:t xml:space="preserve">In routine hospital data, </w:t>
      </w:r>
      <w:r>
        <w:rPr>
          <w:b/>
        </w:rPr>
        <w:t>site-level clustering accounts for approximately half of modeled variance under the observed clinical acquisition distribution ($47.0\%\text{--}56.4\%$ across clinical cohort averages, and $61.5\%\text{--}68.8\%$ at the isotropic 1.0 mm reference scale)</w:t>
      </w:r>
      <w:r>
        <w:t xml:space="preserve">. It is essential not to interpret </w:t>
      </w:r>
      <w:r>
        <w:rPr>
          <w:rFonts w:ascii="Cambria Math" w:hAnsi="Cambria Math"/>
          <w:i/>
        </w:rPr>
        <w:t>\text{ICC}_{\text{site}}</w:t>
      </w:r>
      <w:r>
        <w:t xml:space="preserve"> as a pure measure of "scanner hardware." In real-world multi-center observational healthcare, site is an institutional bundle:</w:t>
      </w:r>
    </w:p>
    <w:p>
      <w:pPr>
        <w:spacing w:before="120" w:after="120"/>
        <w:jc w:val="center"/>
      </w:pPr>
      <w:r>
        <w:rPr>
          <w:rFonts w:ascii="Cambria Math" w:hAnsi="Cambria Math"/>
          <w:i/>
          <w:sz w:val="23"/>
        </w:rPr>
        <w:t>\text{Site} = \text{Scanner Hardware} + \text{Acquisition Protocols} + \text{Patient Population} + \text{Referral Mix} + \text{Operator Practices}</w:t>
      </w:r>
    </w:p>
    <w:p>
      <w:pPr>
        <w:spacing w:before="0" w:after="100" w:line="276" w:lineRule="auto"/>
      </w:pPr>
      <w:r>
        <w:t>When clinical sites differ in vendor, coil geometry, field strength (</w:t>
      </w:r>
      <w:r>
        <w:rPr>
          <w:rFonts w:ascii="Cambria Math" w:hAnsi="Cambria Math"/>
          <w:i/>
        </w:rPr>
        <w:t>0.35\text{T}</w:t>
      </w:r>
      <w:r>
        <w:t xml:space="preserve"> vs. </w:t>
      </w:r>
      <w:r>
        <w:rPr>
          <w:rFonts w:ascii="Cambria Math" w:hAnsi="Cambria Math"/>
          <w:i/>
        </w:rPr>
        <w:t>1.5\text{T}</w:t>
      </w:r>
      <w:r>
        <w:t>), and slice thickness (</w:t>
      </w:r>
      <w:r>
        <w:rPr>
          <w:rFonts w:ascii="Cambria Math" w:hAnsi="Cambria Math"/>
          <w:i/>
        </w:rPr>
        <w:t>1.0\text{ mm}</w:t>
      </w:r>
      <w:r>
        <w:t xml:space="preserve"> vs. </w:t>
      </w:r>
      <w:r>
        <w:rPr>
          <w:rFonts w:ascii="Cambria Math" w:hAnsi="Cambria Math"/>
          <w:i/>
        </w:rPr>
        <w:t>6.0\text{ mm}</w:t>
      </w:r>
      <w:r>
        <w:t>), and when disease cohorts are clustered within specific sites (Table 1), naive pooling will inevitably attribute institutional clustering to biological pathology.</w:t>
      </w:r>
    </w:p>
    <w:p>
      <w:pPr>
        <w:spacing w:before="0" w:after="100" w:line="276" w:lineRule="auto"/>
      </w:pPr>
      <w:r>
        <w:t xml:space="preserve">Crucially, </w:t>
      </w:r>
      <w:r>
        <w:rPr>
          <w:b/>
        </w:rPr>
        <w:t>no statistical model—Bayesian or frequentist—can causally uncouple disease from site when they do not overlap in the design matrix</w:t>
      </w:r>
      <w:r>
        <w:t xml:space="preserve">. In observational clinical archives, </w:t>
      </w:r>
      <w:r>
        <w:rPr>
          <w:b/>
        </w:rPr>
        <w:t>measurement robustness does not guarantee inferential identifiability</w:t>
      </w:r>
      <w:r>
        <w:t>:</w:t>
      </w:r>
    </w:p>
    <w:p>
      <w:pPr>
        <w:spacing w:before="80" w:after="80"/>
        <w:ind w:left="576" w:right="576"/>
      </w:pPr>
      <w:r>
        <w:rPr>
          <w:b/>
          <w:i/>
          <w:color w:val="3C3C3C"/>
        </w:rPr>
        <w:t>A morphometric measurement can survive blur while a disease contrast remains non-identifiable because of observational confounding.</w:t>
      </w:r>
    </w:p>
    <w:p>
      <w:pPr>
        <w:spacing w:before="0" w:after="100" w:line="276" w:lineRule="auto"/>
      </w:pPr>
      <w:r>
        <w:t xml:space="preserve">The primary virtue of our Bayesian hierarchical framework is not that it miraculously "eliminates" confounding, but that it </w:t>
      </w:r>
      <w:r>
        <w:rPr>
          <w:b/>
        </w:rPr>
        <w:t>quantifies the resulting uncertainty honestly</w:t>
      </w:r>
      <w:r>
        <w:t>:</w:t>
      </w:r>
    </w:p>
    <w:p>
      <w:pPr>
        <w:pStyle w:val="ListNumber"/>
        <w:spacing w:before="20" w:after="40"/>
      </w:pPr>
      <w:r>
        <w:t xml:space="preserve">By partial pooling through </w:t>
      </w:r>
      <w:r>
        <w:rPr>
          <w:rFonts w:ascii="Cambria Math" w:hAnsi="Cambria Math"/>
          <w:i/>
        </w:rPr>
        <w:t>\tau_\beta</w:t>
      </w:r>
      <w:r>
        <w:t>, the model shrinks underpowered group estimates toward the population mean, preventing false discoveries.</w:t>
      </w:r>
    </w:p>
    <w:p>
      <w:pPr>
        <w:pStyle w:val="ListNumber"/>
        <w:spacing w:before="20" w:after="40"/>
      </w:pPr>
      <w:r>
        <w:t>By assigning greater residual variance to thick-slice observations (</w:t>
      </w:r>
      <w:r>
        <w:rPr>
          <w:rFonts w:ascii="Cambria Math" w:hAnsi="Cambria Math"/>
          <w:i/>
        </w:rPr>
        <w:t>\lambda</w:t>
      </w:r>
      <w:r>
        <w:t>), the model appropriately reduces their contribution to precise parameter estimation, ensuring that uncertain measurements do not dominate posterior inference.</w:t>
      </w:r>
    </w:p>
    <w:p>
      <w:pPr>
        <w:pStyle w:val="ListNumber"/>
        <w:spacing w:before="20" w:after="40"/>
      </w:pPr>
      <w:r>
        <w:t>By conducting sensitivity analyses (Table 7), the model explicitly exposes how point estimates fluctuate while credible intervals widen, transparently conveying the non-identifiability of observational disease contrasts.</w:t>
      </w:r>
    </w:p>
    <w:p>
      <w:pPr>
        <w:spacing w:before="120" w:after="120" w:line="120" w:lineRule="auto"/>
      </w:pPr>
      <w:r>
        <w:rPr>
          <w:color w:val="C8C8C8"/>
        </w:rPr>
        <w:t>―――――――――――――――――――――――――――――――――――――――――――――</w:t>
      </w:r>
    </w:p>
    <w:p>
      <w:pPr>
        <w:spacing w:before="240" w:after="80"/>
      </w:pPr>
      <w:r>
        <w:rPr>
          <w:rFonts w:ascii="Arial" w:hAnsi="Arial"/>
          <w:b/>
          <w:color w:val="1E325A"/>
          <w:sz w:val="24"/>
        </w:rPr>
        <w:t>4.3 The Gadolinium Contrast Artifact: An Overlooked Confounder</w:t>
      </w:r>
    </w:p>
    <w:p>
      <w:pPr>
        <w:spacing w:before="0" w:after="100" w:line="276" w:lineRule="auto"/>
      </w:pPr>
      <w:r>
        <w:t>Intravenous gadolinium-based contrast agents are ubiquitous in clinical neuroimaging, yet their morphometric impact is almost universally ignored in computational pipelines (Ghassemi et al., 2020). Standard brain extraction and tissue segmentation algorithms rely on the physical assumption that white matter is hyperintense relative to gray matter, which is in turn hyperintense relative to CSF on T1-weighted images.</w:t>
      </w:r>
    </w:p>
    <w:p>
      <w:pPr>
        <w:spacing w:before="0" w:after="100" w:line="276" w:lineRule="auto"/>
      </w:pPr>
      <w:r>
        <w:t xml:space="preserve">Our empirical findings reveal an important dissociation between pipeline completion and quantitative metric bias. In the Bayesian measurement-failure model (Experiment 2), contrast enhancement showed an estimated odds ratio of </w:t>
      </w:r>
      <w:r>
        <w:rPr>
          <w:b/>
        </w:rPr>
        <w:t>$1.95$ ($95\%\text{ HDI: } [0.56, 6.52]$)</w:t>
      </w:r>
      <w:r>
        <w:t xml:space="preserve">. Because this posterior credible interval spans unity, the present data do not establish an independent contrast-associated increase in overall macro-pipeline failure risk. In contrast, the hierarchical biomarker model (Experiment 3) identified a decisive positive contrast-associated shift of </w:t>
      </w:r>
      <w:r>
        <w:rPr>
          <w:b/>
        </w:rPr>
        <w:t>$+0.0310$ ($95\%\text{ HDI: } [0.0130, 0.0500]$)</w:t>
      </w:r>
      <w:r>
        <w:t xml:space="preserve"> in apparent Parenchymal Envelope Fraction. Gadolinium enhances the rich vascular network of the cerebral cortex, dural reflections, and choroid plexus, shifting borderline voxels from the CSF intensity distribution into the parenchymal distribution. In clinical studies evaluating neurodegeneration in oncology patients or hydrocephalus patients undergoing shunt workups, unadjusted tissue segmentation will systematically underestimate cerebral atrophy due to gadolinium-induced tissue pseudo-normalization. Our explicit inclusion of the contrast covariate </w:t>
      </w:r>
      <w:r>
        <w:rPr>
          <w:rFonts w:ascii="Cambria Math" w:hAnsi="Cambria Math"/>
          <w:i/>
        </w:rPr>
        <w:t>\delta</w:t>
      </w:r>
      <w:r>
        <w:t xml:space="preserve"> provides a straightforward, robust correction mechanism.</w:t>
      </w:r>
    </w:p>
    <w:p>
      <w:pPr>
        <w:spacing w:before="120" w:after="120" w:line="120" w:lineRule="auto"/>
      </w:pPr>
      <w:r>
        <w:rPr>
          <w:color w:val="C8C8C8"/>
        </w:rPr>
        <w:t>―――――――――――――――――――――――――――――――――――――――――――――</w:t>
      </w:r>
    </w:p>
    <w:p>
      <w:pPr>
        <w:spacing w:before="240" w:after="80"/>
      </w:pPr>
      <w:r>
        <w:rPr>
          <w:rFonts w:ascii="Arial" w:hAnsi="Arial"/>
          <w:b/>
          <w:color w:val="1E325A"/>
          <w:sz w:val="24"/>
        </w:rPr>
        <w:t>4.4 Measurement Validity: Parenchymal Envelope Fraction vs. Brain Parenchymal Fraction</w:t>
      </w:r>
    </w:p>
    <w:p>
      <w:pPr>
        <w:spacing w:before="0" w:after="100" w:line="276" w:lineRule="auto"/>
      </w:pPr>
      <w:r>
        <w:t xml:space="preserve">A critical distinction highlighted by our codebase audit is the difference between conventional </w:t>
      </w:r>
      <w:r>
        <w:rPr>
          <w:b/>
        </w:rPr>
        <w:t>Brain Parenchymal Fraction (BPF)</w:t>
      </w:r>
      <w:r>
        <w:t xml:space="preserve"> and the </w:t>
      </w:r>
      <w:r>
        <w:rPr>
          <w:b/>
        </w:rPr>
        <w:t>Parenchymal Envelope Fraction (PEF)</w:t>
      </w:r>
      <w:r>
        <w:t xml:space="preserve"> implemented here:</w:t>
      </w:r>
    </w:p>
    <w:p>
      <w:pPr>
        <w:pStyle w:val="ListBullet"/>
        <w:spacing w:before="20" w:after="40"/>
      </w:pPr>
      <w:r>
        <w:t>In research cohorts, BPF decomposes brain volume into gray matter, white matter, and cerebrospinal fluid via validated Gaussian mixture models or atlas priors (</w:t>
      </w:r>
      <w:r>
        <w:rPr>
          <w:rFonts w:ascii="Cambria Math" w:hAnsi="Cambria Math"/>
          <w:i/>
        </w:rPr>
        <w:t>BPF = [GM + WM] / ICV</w:t>
      </w:r>
      <w:r>
        <w:t>).</w:t>
      </w:r>
    </w:p>
    <w:p>
      <w:pPr>
        <w:pStyle w:val="ListBullet"/>
        <w:spacing w:before="20" w:after="40"/>
      </w:pPr>
      <w:r>
        <w:t>In clinical thick-slice scans, partial volume averaging and non-uniform RF coils prevent reliable 3-tissue deconvolution. Our pipeline computes PEF via adaptive intensity thresholding and binary dilation.</w:t>
      </w:r>
    </w:p>
    <w:p>
      <w:pPr>
        <w:pStyle w:val="ListBullet"/>
        <w:spacing w:before="20" w:after="40"/>
      </w:pPr>
      <w:r>
        <w:t xml:space="preserve">Consequently, raw brain volumes extracted from thick-slice series without slice-gap interpolation act as upper-bound cranial envelope volumes (often exceeding </w:t>
      </w:r>
      <w:r>
        <w:rPr>
          <w:rFonts w:ascii="Cambria Math" w:hAnsi="Cambria Math"/>
          <w:i/>
        </w:rPr>
        <w:t>4,000\text{--}5,000\text{ cm}^3</w:t>
      </w:r>
      <w:r>
        <w:t xml:space="preserve"> on uncalibrated thick-slice series) rather than physiological adult brain volumes (</w:t>
      </w:r>
      <w:r>
        <w:rPr>
          <w:rFonts w:ascii="Cambria Math" w:hAnsi="Cambria Math"/>
          <w:i/>
        </w:rPr>
        <w:t>\sim 1,100\text{--}1,400\text{ cm}^3</w:t>
      </w:r>
      <w:r>
        <w:t>).</w:t>
      </w:r>
    </w:p>
    <w:p>
      <w:pPr>
        <w:pStyle w:val="ListBullet"/>
        <w:spacing w:before="20" w:after="40"/>
      </w:pPr>
      <w:r>
        <w:t>While PEF remains internally consistent as an image-derived envelope index for tracking relative shrinkage across models, it cannot be interpreted as an anatomical parenchyma-to-CSF ratio without explicit voxel-level atlas validation. Renaming this feature to Parenchymal Envelope Fraction provides scientific honesty and prevents misinterpretation by clinical readers.</w:t>
      </w:r>
    </w:p>
    <w:p>
      <w:pPr>
        <w:spacing w:before="120" w:after="120" w:line="120" w:lineRule="auto"/>
      </w:pPr>
      <w:r>
        <w:rPr>
          <w:color w:val="C8C8C8"/>
        </w:rPr>
        <w:t>―――――――――――――――――――――――――――――――――――――――――――――</w:t>
      </w:r>
    </w:p>
    <w:p>
      <w:pPr>
        <w:spacing w:before="240" w:after="80"/>
      </w:pPr>
      <w:r>
        <w:rPr>
          <w:rFonts w:ascii="Arial" w:hAnsi="Arial"/>
          <w:b/>
          <w:color w:val="1E325A"/>
          <w:sz w:val="24"/>
        </w:rPr>
        <w:t>4.5 Evans' Index: Toward Validation Against Clinical Radiological Standards</w:t>
      </w:r>
    </w:p>
    <w:p>
      <w:pPr>
        <w:spacing w:before="0" w:after="100" w:line="276" w:lineRule="auto"/>
      </w:pPr>
      <w:r>
        <w:t xml:space="preserve">Evans' Index represents the strongest candidate for automated morphometry in routine clinical imaging. However, before automated </w:t>
      </w:r>
      <w:r>
        <w:rPr>
          <w:rFonts w:ascii="Cambria Math" w:hAnsi="Cambria Math"/>
          <w:i/>
        </w:rPr>
        <w:t>EI</w:t>
      </w:r>
      <w:r>
        <w:t xml:space="preserve"> algorithms can be deployed for clinical decision-making or diagnostic classification, they must be validated against human radiological standards:</w:t>
      </w:r>
    </w:p>
    <w:p>
      <w:pPr>
        <w:pStyle w:val="ListBullet"/>
        <w:spacing w:before="20" w:after="40"/>
      </w:pPr>
      <w:r>
        <w:rPr>
          <w:b/>
        </w:rPr>
        <w:t>The Clinical Gold Standard:</w:t>
      </w:r>
      <w:r>
        <w:t xml:space="preserve"> In radiological practice, Evans' Index is measured manually with digital calipers on PACS workstations by consultant neuroradiologists (Relkin et al., 2005). The reader selects the single axial slice showing the maximum frontal horn span and places electronic calipers at the inner margin of the frontal horns and the inner table of the calvarium.</w:t>
      </w:r>
    </w:p>
    <w:p>
      <w:pPr>
        <w:pStyle w:val="ListBullet"/>
        <w:spacing w:before="20" w:after="40"/>
      </w:pPr>
      <w:r>
        <w:rPr>
          <w:b/>
        </w:rPr>
        <w:t>Algorithmic Approximations:</w:t>
      </w:r>
      <w:r>
        <w:t xml:space="preserve"> Our automated engine approximates this process by analyzing horizontal intensity profiles and selecting candidate slices between </w:t>
      </w:r>
      <w:r>
        <w:rPr>
          <w:rFonts w:ascii="Cambria Math" w:hAnsi="Cambria Math"/>
          <w:i/>
        </w:rPr>
        <w:t>35\%\text{--}65\%</w:t>
      </w:r>
      <w:r>
        <w:t xml:space="preserve"> cranial height.</w:t>
      </w:r>
    </w:p>
    <w:p>
      <w:pPr>
        <w:pStyle w:val="ListBullet"/>
        <w:spacing w:before="20" w:after="40"/>
      </w:pPr>
      <w:r>
        <w:rPr>
          <w:b/>
        </w:rPr>
        <w:t>Future Reader Study Requirement:</w:t>
      </w:r>
      <w:r>
        <w:t xml:space="preserve"> To establish clinical validity, future work must conduct formal multi-reader agreement studies against manual expert calipers—evaluating inter-rater ICC, algorithm-vs-rater ICC, Bland–Altman limits of agreement, and diagnostic sensitivity/specificity around the clinical ventriculomegaly cutoff (</w:t>
      </w:r>
      <w:r>
        <w:rPr>
          <w:rFonts w:ascii="Cambria Math" w:hAnsi="Cambria Math"/>
          <w:i/>
        </w:rPr>
        <w:t>EI &gt; 0.30</w:t>
      </w:r>
      <w:r>
        <w:t>)—before clinical triage capability can be claimed.</w:t>
      </w:r>
    </w:p>
    <w:p>
      <w:pPr>
        <w:spacing w:before="120" w:after="120" w:line="120" w:lineRule="auto"/>
      </w:pPr>
      <w:r>
        <w:rPr>
          <w:color w:val="C8C8C8"/>
        </w:rPr>
        <w:t>―――――――――――――――――――――――――――――――――――――――――――――</w:t>
      </w:r>
    </w:p>
    <w:p>
      <w:pPr>
        <w:spacing w:before="240" w:after="80"/>
      </w:pPr>
      <w:r>
        <w:rPr>
          <w:rFonts w:ascii="Arial" w:hAnsi="Arial"/>
          <w:b/>
          <w:color w:val="1E325A"/>
          <w:sz w:val="24"/>
        </w:rPr>
        <w:t>4.6 Implications for Global Health Neuroimaging and Low-Field MRI</w:t>
      </w:r>
    </w:p>
    <w:p>
      <w:pPr>
        <w:spacing w:before="0" w:after="100" w:line="276" w:lineRule="auto"/>
      </w:pPr>
      <w:r>
        <w:t xml:space="preserve">The findings of this study have direct implications for global health equity in neuroimaging. Low- and middle-income countries account for over </w:t>
      </w:r>
      <w:r>
        <w:rPr>
          <w:rFonts w:ascii="Cambria Math" w:hAnsi="Cambria Math"/>
          <w:i/>
        </w:rPr>
        <w:t>70\%</w:t>
      </w:r>
      <w:r>
        <w:t xml:space="preserve"> of the global burden of neurological disease, yet possess fewer than </w:t>
      </w:r>
      <w:r>
        <w:rPr>
          <w:rFonts w:ascii="Cambria Math" w:hAnsi="Cambria Math"/>
          <w:i/>
        </w:rPr>
        <w:t>1\%</w:t>
      </w:r>
      <w:r>
        <w:t xml:space="preserve"> of the world's research-grade MRI scanners (Geethanath &amp; Vaughan, 2019; Ogbole et al., 2018). Most imaging in these regions is performed on legacy </w:t>
      </w:r>
      <w:r>
        <w:rPr>
          <w:rFonts w:ascii="Cambria Math" w:hAnsi="Cambria Math"/>
          <w:i/>
        </w:rPr>
        <w:t>0.35\text{--}1.5\text{T}</w:t>
      </w:r>
      <w:r>
        <w:t xml:space="preserve"> scanners with thick 2D protocols.</w:t>
      </w:r>
    </w:p>
    <w:p>
      <w:pPr>
        <w:spacing w:before="0" w:after="100" w:line="276" w:lineRule="auto"/>
      </w:pPr>
      <w:r>
        <w:t xml:space="preserve">By demonstrating that </w:t>
      </w:r>
      <w:r>
        <w:rPr>
          <w:b/>
        </w:rPr>
        <w:t>2D in-plane macro-metrics (Evans' Index) remain quantitatively robust under thick-slice degradation</w:t>
      </w:r>
      <w:r>
        <w:t xml:space="preserve">, and by providing a pipeline that achieves a </w:t>
      </w:r>
      <w:r>
        <w:rPr>
          <w:b/>
        </w:rPr>
        <w:t>$95.9\%$ retention rate</w:t>
      </w:r>
      <w:r>
        <w:t xml:space="preserve"> on routine scans, this work provides a practical path forward for opportunistic computational neuroimaging in underserved populations:</w:t>
      </w:r>
    </w:p>
    <w:p>
      <w:pPr>
        <w:pStyle w:val="ListNumber"/>
        <w:spacing w:before="20" w:after="40"/>
      </w:pPr>
      <w:r>
        <w:rPr>
          <w:b/>
        </w:rPr>
        <w:t>Candidate Automated Measure for Ventriculomegaly:</w:t>
      </w:r>
      <w:r>
        <w:t xml:space="preserve"> Evans' Index provides a candidate automated measure for future evaluation in hydrocephalus screening and longitudinal monitoring in clinical environments lacking on-site neuroradiologists.</w:t>
      </w:r>
    </w:p>
    <w:p>
      <w:pPr>
        <w:pStyle w:val="ListNumber"/>
        <w:spacing w:before="20" w:after="40"/>
      </w:pPr>
      <w:r>
        <w:rPr>
          <w:b/>
        </w:rPr>
        <w:t>Quality Control for Low-Field MRI:</w:t>
      </w:r>
      <w:r>
        <w:t xml:space="preserve"> The logistic failure model (Table 4) establishes evidence-based quality boundaries, enabling clinical sites to identify when low-field (</w:t>
      </w:r>
      <w:r>
        <w:rPr>
          <w:rFonts w:ascii="Cambria Math" w:hAnsi="Cambria Math"/>
          <w:i/>
        </w:rPr>
        <w:t>0.35\text{T}</w:t>
      </w:r>
      <w:r>
        <w:t>) or extreme slice thickness (</w:t>
      </w:r>
      <w:r>
        <w:rPr>
          <w:rFonts w:ascii="Cambria Math" w:hAnsi="Cambria Math"/>
          <w:i/>
        </w:rPr>
        <w:t>&gt;6.0\text{ mm}</w:t>
      </w:r>
      <w:r>
        <w:t>) exceeds automated measurement limits.</w:t>
      </w:r>
    </w:p>
    <w:p>
      <w:pPr>
        <w:pStyle w:val="ListNumber"/>
        <w:spacing w:before="20" w:after="40"/>
      </w:pPr>
      <w:r>
        <w:rPr>
          <w:b/>
        </w:rPr>
        <w:t>Decentralized Clinical Epidemiology:</w:t>
      </w:r>
      <w:r>
        <w:t xml:space="preserve"> Heteroskedastic Bayesian hierarchical models allow regional hospital consortia to pool heterogeneous imaging archives without requiring expensive protocol harmonization.</w:t>
      </w:r>
    </w:p>
    <w:p>
      <w:pPr>
        <w:spacing w:before="120" w:after="120" w:line="120" w:lineRule="auto"/>
      </w:pPr>
      <w:r>
        <w:rPr>
          <w:color w:val="C8C8C8"/>
        </w:rPr>
        <w:t>―――――――――――――――――――――――――――――――――――――――――――――</w:t>
      </w:r>
    </w:p>
    <w:p>
      <w:pPr>
        <w:spacing w:before="240" w:after="80"/>
      </w:pPr>
      <w:r>
        <w:rPr>
          <w:rFonts w:ascii="Arial" w:hAnsi="Arial"/>
          <w:b/>
          <w:color w:val="1E325A"/>
          <w:sz w:val="24"/>
        </w:rPr>
        <w:t>4.7 Limitations</w:t>
      </w:r>
    </w:p>
    <w:p>
      <w:pPr>
        <w:spacing w:before="0" w:after="100" w:line="276" w:lineRule="auto"/>
      </w:pPr>
      <w:r>
        <w:t>This study has several limitations that warrant consideration:</w:t>
      </w:r>
    </w:p>
    <w:p>
      <w:pPr>
        <w:pStyle w:val="ListNumber"/>
        <w:spacing w:before="20" w:after="40"/>
      </w:pPr>
      <w:r>
        <w:rPr>
          <w:b/>
        </w:rPr>
        <w:t>Absence of Demographic Covariates (Age and Biological Sex):</w:t>
      </w:r>
      <w:r>
        <w:t xml:space="preserve"> Under retrospective hospital data protection and de-identification protocols across participating Nigerian centers, individual chronological age and biological sex entries were unreliably preserved in legacy console exports or stripped during anonymization. In structural neuroimaging, normal brain aging entails steady cerebral volume loss (~0.2–0.5% per year in adulthood) and compensatory ex vacuo ventricular dilation, with known sexual dimorphism in intracranial volume and cranial dimensions. In our observational sample, protocol descriptions indicate the presence of both pediatric and adult cases (e.g., pediatric routine brain protocols vs. adult seizure or dementia evaluations). Without digitized chronological age, normal senescence and development could not be directly modeled through linear or spline covariates (</w:t>
      </w:r>
      <w:r>
        <w:rPr>
          <w:rFonts w:ascii="Cambria Math" w:hAnsi="Cambria Math"/>
          <w:i/>
        </w:rPr>
        <w:t>\theta_{\text{age}} \text{Age}_i + \theta_{\text{sex}} \text{Sex}_i</w:t>
      </w:r>
      <w:r>
        <w:t>). Because age and sex were unavailable, their effects remain unmeasured potential confounders. Age- and sex-related variability may contribute to residual and between-site variation, but cannot be separately identified or adjusted for by the present model. Establishing prospectively standardized demographic recording is a paramount recommendation for future LMIC neuroimaging repositories.</w:t>
      </w:r>
    </w:p>
    <w:p>
      <w:pPr>
        <w:pStyle w:val="ListNumber"/>
        <w:spacing w:before="20" w:after="40"/>
      </w:pPr>
      <w:r>
        <w:rPr>
          <w:b/>
        </w:rPr>
        <w:t>Pediatric vs. Adult Hydrocephalus Pathophysiological Heterogeneity:</w:t>
      </w:r>
      <w:r>
        <w:t xml:space="preserve"> The hydrocephalus cohort (</w:t>
      </w:r>
      <w:r>
        <w:rPr>
          <w:rFonts w:ascii="Cambria Math" w:hAnsi="Cambria Math"/>
          <w:i/>
        </w:rPr>
        <w:t>N=82</w:t>
      </w:r>
      <w:r>
        <w:t>) represents opportunistic real-world clinical presentations across Nigerian neurosurgical referral centers, spanning both pediatric and adult patients. From an anatomical perspective, hydrocephalus in infancy and early childhood occurs in the presence of open cranial sutures and pliable fontanelles, permitting massive cranial enlargement (macrocephaly) and extreme frontal horn splaying without immediate parenchymal impaction. In contrast, adult-onset hydrocephalus (such as Normal Pressure Hydrocephalus or late obstructive hydrocephalus) develops within a closed, rigid calvarium, producing periventricular transependymal edema and acute ventricular wall tension without cranial vault expansion. While Evans' Index provides a cranial-normalized geometric ratio that partially accounts for head scale (</w:t>
      </w:r>
      <w:r>
        <w:rPr>
          <w:rFonts w:ascii="Cambria Math" w:hAnsi="Cambria Math"/>
          <w:i/>
        </w:rPr>
        <w:t>W_{\text{horns}} / D_{\text{skull}}</w:t>
      </w:r>
      <w:r>
        <w:t xml:space="preserve">), the biomechanical compliance of the pediatric skull differs fundamentally from adult crania. Pooling these presentations into a single diagnostic category </w:t>
      </w:r>
      <w:r>
        <w:rPr>
          <w:rFonts w:ascii="Cambria Math" w:hAnsi="Cambria Math"/>
          <w:i/>
        </w:rPr>
        <w:t>\beta_{\text{HYD}}</w:t>
      </w:r>
      <w:r>
        <w:t xml:space="preserve"> without age stratification introduces developmental variance that broadens the posterior credible interval.</w:t>
      </w:r>
    </w:p>
    <w:p>
      <w:pPr>
        <w:pStyle w:val="ListNumber"/>
        <w:spacing w:before="20" w:after="40"/>
      </w:pPr>
      <w:r>
        <w:rPr>
          <w:b/>
        </w:rPr>
        <w:t>Unbalanced Diagnostic Group Sizes:</w:t>
      </w:r>
      <w:r>
        <w:t xml:space="preserve"> The clinical cohort reflects natural hospital presentation rates, resulting in unbalanced groups (e.g., Hydrocephalus </w:t>
      </w:r>
      <w:r>
        <w:rPr>
          <w:rFonts w:ascii="Cambria Math" w:hAnsi="Cambria Math"/>
          <w:i/>
        </w:rPr>
        <w:t>N=82</w:t>
      </w:r>
      <w:r>
        <w:t xml:space="preserve"> vs. Epilepsy </w:t>
      </w:r>
      <w:r>
        <w:rPr>
          <w:rFonts w:ascii="Cambria Math" w:hAnsi="Cambria Math"/>
          <w:i/>
        </w:rPr>
        <w:t>N=7</w:t>
      </w:r>
      <w:r>
        <w:t>). While Bayesian partial pooling explicitly accounts for unequal sample sizes by shrinking small groups, prospective balanced cohorts would yield tighter posterior credible intervals for underrepresented categories.</w:t>
      </w:r>
    </w:p>
    <w:p>
      <w:pPr>
        <w:pStyle w:val="ListNumber"/>
        <w:spacing w:before="20" w:after="40"/>
      </w:pPr>
      <w:r>
        <w:rPr>
          <w:b/>
        </w:rPr>
        <w:t>Retrospective Observational Design:</w:t>
      </w:r>
      <w:r>
        <w:t xml:space="preserve"> Clinical diagnoses were established through routine radiological and neurological evaluation rather than standardized research battery assessments (e.g., CDR scores or standardized MMSE).</w:t>
      </w:r>
    </w:p>
    <w:p>
      <w:pPr>
        <w:pStyle w:val="ListNumber"/>
        <w:spacing w:before="20" w:after="40"/>
      </w:pPr>
      <w:r>
        <w:rPr>
          <w:b/>
        </w:rPr>
        <w:t>Cross-Sectional Architecture:</w:t>
      </w:r>
      <w:r>
        <w:t xml:space="preserve"> Scans represent single timepoint clinical presentations. Longitudinal repeat-scan acquisitions on identical subjects across differing slice thicknesses would provide further empirical calibration of intra-subject drift.</w:t>
      </w:r>
    </w:p>
    <w:p>
      <w:pPr>
        <w:pStyle w:val="ListNumber"/>
        <w:spacing w:before="20" w:after="40"/>
      </w:pPr>
      <w:r>
        <w:rPr>
          <w:b/>
        </w:rPr>
        <w:t>Validation against Human Neuroradiologists:</w:t>
      </w:r>
      <w:r>
        <w:t xml:space="preserve"> While automated Evans' Index is algorithmically grounded in clinical caliper guidelines, formal multi-reader agreement studies against manual expert calipers are needed before biological claims can be translated to diagnostic guidelines.</w:t>
      </w:r>
    </w:p>
    <w:p>
      <w:pPr>
        <w:spacing w:before="120" w:after="120" w:line="120" w:lineRule="auto"/>
      </w:pPr>
      <w:r>
        <w:rPr>
          <w:color w:val="C8C8C8"/>
        </w:rPr>
        <w:t>―――――――――――――――――――――――――――――――――――――――――――――</w:t>
      </w:r>
    </w:p>
    <w:p>
      <w:pPr>
        <w:spacing w:before="320" w:after="120"/>
      </w:pPr>
      <w:r>
        <w:rPr>
          <w:rFonts w:ascii="Arial" w:hAnsi="Arial"/>
          <w:b/>
          <w:color w:val="142D50"/>
          <w:sz w:val="28"/>
        </w:rPr>
        <w:t>5. Conclusion</w:t>
      </w:r>
    </w:p>
    <w:p>
      <w:pPr>
        <w:spacing w:before="0" w:after="100" w:line="276" w:lineRule="auto"/>
      </w:pPr>
      <w:r>
        <w:t>This study provides both the physical basis and the statistical framework for conducting quantitative neuroimaging on routine clinical MRI archives:</w:t>
      </w:r>
    </w:p>
    <w:p>
      <w:pPr>
        <w:pStyle w:val="ListNumber"/>
        <w:spacing w:before="20" w:after="40"/>
      </w:pPr>
      <w:r>
        <w:rPr>
          <w:b/>
        </w:rPr>
        <w:t>What survives the blur is in-plane geometry:</w:t>
      </w:r>
      <w:r>
        <w:t xml:space="preserve"> Two-dimensional transverse linear ratios (Evans' Index) are structurally decoupled from slice-select degradation, maintaining </w:t>
      </w:r>
      <w:r>
        <w:rPr>
          <w:rFonts w:ascii="Cambria Math" w:hAnsi="Cambria Math"/>
          <w:i/>
        </w:rPr>
        <w:t>&lt;2.5\%</w:t>
      </w:r>
      <w:r>
        <w:t xml:space="preserve"> measurement error up to </w:t>
      </w:r>
      <w:r>
        <w:rPr>
          <w:rFonts w:ascii="Cambria Math" w:hAnsi="Cambria Math"/>
          <w:i/>
        </w:rPr>
        <w:t>5.0\text{ mm}</w:t>
      </w:r>
      <w:r>
        <w:t xml:space="preserve"> slice thickness, whereas 3D subcortical micro-morphometry collapses.</w:t>
      </w:r>
    </w:p>
    <w:p>
      <w:pPr>
        <w:pStyle w:val="ListNumber"/>
        <w:spacing w:before="20" w:after="40"/>
      </w:pPr>
      <w:r>
        <w:rPr>
          <w:b/>
        </w:rPr>
        <w:t>Standard software fails on clinical reality:</w:t>
      </w:r>
      <w:r>
        <w:t xml:space="preserve"> Conventional pipelines (FreeSurfer) suffer </w:t>
      </w:r>
      <w:r>
        <w:rPr>
          <w:rFonts w:ascii="Cambria Math" w:hAnsi="Cambria Math"/>
          <w:i/>
        </w:rPr>
        <w:t>85.3\%</w:t>
      </w:r>
      <w:r>
        <w:t xml:space="preserve"> attrition on clinical archives, whereas our lightweight macro-morphometry engine achieves </w:t>
      </w:r>
      <w:r>
        <w:rPr>
          <w:rFonts w:ascii="Cambria Math" w:hAnsi="Cambria Math"/>
          <w:i/>
        </w:rPr>
        <w:t>95.9\%</w:t>
      </w:r>
      <w:r>
        <w:t xml:space="preserve"> retention.</w:t>
      </w:r>
    </w:p>
    <w:p>
      <w:pPr>
        <w:pStyle w:val="ListNumber"/>
        <w:spacing w:before="20" w:after="40"/>
      </w:pPr>
      <w:r>
        <w:rPr>
          <w:b/>
        </w:rPr>
        <w:t>Site-level clustering dominates raw multi-center variance:</w:t>
      </w:r>
      <w:r>
        <w:t xml:space="preserve"> Institutional site clustering accounts for </w:t>
      </w:r>
      <w:r>
        <w:rPr>
          <w:rFonts w:ascii="Cambria Math" w:hAnsi="Cambria Math"/>
          <w:i/>
        </w:rPr>
        <w:t>47.0\%\text{--}68.8\%</w:t>
      </w:r>
      <w:r>
        <w:t xml:space="preserve"> of total metric variance depending on whether evaluated at the isotropic reference or across the clinical cohort average, proving that naive multi-center pooling yields spurious biological findings.</w:t>
      </w:r>
    </w:p>
    <w:p>
      <w:pPr>
        <w:pStyle w:val="ListNumber"/>
        <w:spacing w:before="20" w:after="40"/>
      </w:pPr>
      <w:r>
        <w:rPr>
          <w:b/>
        </w:rPr>
        <w:t>Bayesian modeling provides honest uncertainty quantification:</w:t>
      </w:r>
      <w:r>
        <w:t xml:space="preserve"> By incorporating exponential slice noise dispersion (</w:t>
      </w:r>
      <w:r>
        <w:rPr>
          <w:rFonts w:ascii="Cambria Math" w:hAnsi="Cambria Math"/>
          <w:i/>
        </w:rPr>
        <w:t>\lambda &gt; 0</w:t>
      </w:r>
      <w:r>
        <w:t>), contrast adjustment (</w:t>
      </w:r>
      <w:r>
        <w:rPr>
          <w:rFonts w:ascii="Cambria Math" w:hAnsi="Cambria Math"/>
          <w:i/>
        </w:rPr>
        <w:t>\delta &gt; 0</w:t>
      </w:r>
      <w:r>
        <w:t>), and hierarchical partial pooling, Bayesian NUTS models reduce overconfident disease attribution by explicitly representing site clustering and acquisition-dependent uncertainty.</w:t>
      </w:r>
    </w:p>
    <w:p>
      <w:pPr>
        <w:spacing w:before="120" w:after="120" w:line="120" w:lineRule="auto"/>
      </w:pPr>
      <w:r>
        <w:rPr>
          <w:color w:val="C8C8C8"/>
        </w:rPr>
        <w:t>―――――――――――――――――――――――――――――――――――――――――――――</w:t>
      </w:r>
    </w:p>
    <w:p>
      <w:pPr>
        <w:spacing w:before="320" w:after="120"/>
      </w:pPr>
      <w:r>
        <w:rPr>
          <w:rFonts w:ascii="Arial" w:hAnsi="Arial"/>
          <w:b/>
          <w:color w:val="142D50"/>
          <w:sz w:val="28"/>
        </w:rPr>
        <w:t>Data and Code Availability</w:t>
      </w:r>
    </w:p>
    <w:p>
      <w:pPr>
        <w:spacing w:before="0" w:after="100" w:line="276" w:lineRule="auto"/>
      </w:pPr>
      <w:r>
        <w:t xml:space="preserve">All computational pipelines, feature extraction algorithms, Bayesian PyMC NUTS inference engines, and experimental scripts developed in this study are fully open-source under the MIT license at:  </w:t>
      </w:r>
    </w:p>
    <w:p>
      <w:pPr>
        <w:spacing w:before="0" w:after="100" w:line="276" w:lineRule="auto"/>
      </w:pPr>
      <w:r>
        <w:rPr>
          <w:rFonts w:ascii="Consolas" w:hAnsi="Consolas"/>
          <w:color w:val="A02828"/>
          <w:sz w:val="19"/>
        </w:rPr>
        <w:t>https://github.com/filimapatrick/Bayesian_Hierarchical_Modeling_of_Brain_Morphometry</w:t>
      </w:r>
    </w:p>
    <w:p>
      <w:pPr>
        <w:spacing w:before="0" w:after="100" w:line="276" w:lineRule="auto"/>
      </w:pPr>
      <w:r>
        <w:t>All study artifacts (summary tables, posterior traces, and publication figures) can be reproduced from scratch with a single command via the master reproduction script:</w:t>
      </w:r>
    </w:p>
    <w:p>
      <w:pPr>
        <w:spacing w:before="120" w:after="120" w:line="252" w:lineRule="auto"/>
      </w:pPr>
      <w:r>
        <w:rPr>
          <w:rFonts w:ascii="Consolas" w:hAnsi="Consolas"/>
          <w:color w:val="282828"/>
          <w:sz w:val="16"/>
        </w:rPr>
        <w:t>bash run_study.sh</w:t>
      </w:r>
    </w:p>
    <w:p>
      <w:pPr>
        <w:spacing w:before="120" w:after="120" w:line="120" w:lineRule="auto"/>
      </w:pPr>
      <w:r>
        <w:rPr>
          <w:color w:val="C8C8C8"/>
        </w:rPr>
        <w:t>―――――――――――――――――――――――――――――――――――――――――――――</w:t>
      </w:r>
    </w:p>
    <w:p>
      <w:pPr>
        <w:spacing w:before="320" w:after="120"/>
      </w:pPr>
      <w:r>
        <w:rPr>
          <w:rFonts w:ascii="Arial" w:hAnsi="Arial"/>
          <w:b/>
          <w:color w:val="142D50"/>
          <w:sz w:val="28"/>
        </w:rPr>
        <w:t>Ethics Approval &amp; Consent to Participate</w:t>
      </w:r>
    </w:p>
    <w:p>
      <w:pPr>
        <w:spacing w:before="0" w:after="100" w:line="276" w:lineRule="auto"/>
      </w:pPr>
      <w:r>
        <w:t>The retrospective curation and secondary computational analysis of de-identified clinical neuroimaging data was reviewed and approved by the Health Research Ethics Committees (HREC) and Institutional Review Boards of the participating Nigerian institutions:</w:t>
      </w:r>
    </w:p>
    <w:p>
      <w:pPr>
        <w:pStyle w:val="ListBullet"/>
        <w:spacing w:before="20" w:after="40"/>
      </w:pPr>
      <w:r>
        <w:t>Rivers State University Teaching Hospital (RSUTH), Port Harcourt, Nigeria</w:t>
      </w:r>
    </w:p>
    <w:p>
      <w:pPr>
        <w:pStyle w:val="ListBullet"/>
        <w:spacing w:before="20" w:after="40"/>
      </w:pPr>
      <w:r>
        <w:t>University of Port Harcourt Teaching Hospital (UPTH), Port Harcourt, Nigeria</w:t>
      </w:r>
    </w:p>
    <w:p>
      <w:pPr>
        <w:pStyle w:val="ListBullet"/>
        <w:spacing w:before="20" w:after="40"/>
      </w:pPr>
      <w:r>
        <w:t>Braithwaite Memorial Specialist Hospital (BMH), Port Harcourt, Nigeria</w:t>
      </w:r>
    </w:p>
    <w:p>
      <w:pPr>
        <w:pStyle w:val="ListBullet"/>
        <w:spacing w:before="20" w:after="40"/>
      </w:pPr>
      <w:r>
        <w:t>Intercontinental Diagnostic Centre (IDC), Port Harcourt, Nigeria</w:t>
      </w:r>
    </w:p>
    <w:p>
      <w:pPr>
        <w:spacing w:before="0" w:after="100" w:line="276" w:lineRule="auto"/>
      </w:pPr>
      <w:r>
        <w:t>All patient health information was anonymized in strict accordance with HIPAA Safe Harbor and GDPR guidelines; all facial features were stripped, and unique cryptographic pseudonyms (</w:t>
      </w:r>
      <w:r>
        <w:rPr>
          <w:rFonts w:ascii="Consolas" w:hAnsi="Consolas"/>
          <w:color w:val="A02828"/>
          <w:sz w:val="19"/>
        </w:rPr>
        <w:t>sub-&lt;cohort&gt;&lt;id&gt;</w:t>
      </w:r>
      <w:r>
        <w:t>) were assigned prior to computational analysis.</w:t>
      </w:r>
    </w:p>
    <w:p>
      <w:pPr>
        <w:spacing w:before="120" w:after="120" w:line="120" w:lineRule="auto"/>
      </w:pPr>
      <w:r>
        <w:rPr>
          <w:color w:val="C8C8C8"/>
        </w:rPr>
        <w:t>―――――――――――――――――――――――――――――――――――――――――――――</w:t>
      </w:r>
    </w:p>
    <w:p>
      <w:pPr>
        <w:spacing w:before="320" w:after="120"/>
      </w:pPr>
      <w:r>
        <w:rPr>
          <w:rFonts w:ascii="Arial" w:hAnsi="Arial"/>
          <w:b/>
          <w:color w:val="142D50"/>
          <w:sz w:val="28"/>
        </w:rPr>
        <w:t>Competing Interests</w:t>
      </w:r>
    </w:p>
    <w:p>
      <w:pPr>
        <w:spacing w:before="0" w:after="100" w:line="276" w:lineRule="auto"/>
      </w:pPr>
      <w:r>
        <w:t>The authors declare that they have no competing financial or non-financial interests.</w:t>
      </w:r>
    </w:p>
    <w:p>
      <w:pPr>
        <w:spacing w:before="120" w:after="120" w:line="120" w:lineRule="auto"/>
      </w:pPr>
      <w:r>
        <w:rPr>
          <w:color w:val="C8C8C8"/>
        </w:rPr>
        <w:t>―――――――――――――――――――――――――――――――――――――――――――――</w:t>
      </w:r>
    </w:p>
    <w:p>
      <w:pPr>
        <w:spacing w:before="320" w:after="120"/>
      </w:pPr>
      <w:r>
        <w:rPr>
          <w:rFonts w:ascii="Arial" w:hAnsi="Arial"/>
          <w:b/>
          <w:color w:val="142D50"/>
          <w:sz w:val="28"/>
        </w:rPr>
        <w:t>Acknowledgments</w:t>
      </w:r>
    </w:p>
    <w:p>
      <w:pPr>
        <w:spacing w:before="0" w:after="100" w:line="276" w:lineRule="auto"/>
      </w:pPr>
      <w:r>
        <w:t>The authors express their profound gratitude to the consultant radiologists, radiographers, and clinical administrators at RSUTH, UPTH, BMH, IDC, AKTH/NKDC, and LifeBridge for their invaluable assistance in facilitating data curation and ethical oversight.</w:t>
      </w:r>
    </w:p>
    <w:p>
      <w:pPr>
        <w:spacing w:before="120" w:after="120" w:line="120" w:lineRule="auto"/>
      </w:pPr>
      <w:r>
        <w:rPr>
          <w:color w:val="C8C8C8"/>
        </w:rPr>
        <w:t>―――――――――――――――――――――――――――――――――――――――――――――</w:t>
      </w:r>
    </w:p>
    <w:p>
      <w:pPr>
        <w:spacing w:before="320" w:after="120"/>
      </w:pPr>
      <w:r>
        <w:rPr>
          <w:rFonts w:ascii="Arial" w:hAnsi="Arial"/>
          <w:b/>
          <w:color w:val="142D50"/>
          <w:sz w:val="28"/>
        </w:rPr>
        <w:t>References</w:t>
      </w:r>
    </w:p>
    <w:p>
      <w:pPr>
        <w:pStyle w:val="ListNumber"/>
        <w:spacing w:before="20" w:after="40"/>
      </w:pPr>
      <w:r>
        <w:t xml:space="preserve">Alfaro-Almagro, F., Jenkinson, M., Bangerter, N. K., Andersson, J. L., Griffanti, L., Douaud, G., ... &amp; Smith, S. M. (2018). Image processing and Quality Control for the first 10,000 brain imaging datasets from UK Biobank. </w:t>
      </w:r>
      <w:r>
        <w:rPr>
          <w:i/>
        </w:rPr>
        <w:t>NeuroImage</w:t>
      </w:r>
      <w:r>
        <w:t>, 166, 400-424.</w:t>
      </w:r>
    </w:p>
    <w:p>
      <w:pPr>
        <w:pStyle w:val="ListNumber"/>
        <w:spacing w:before="20" w:after="40"/>
      </w:pPr>
      <w:r>
        <w:t xml:space="preserve">Ashburner, J., &amp; Friston, K. J. (2000). Voxel-based morphometry—the methods. </w:t>
      </w:r>
      <w:r>
        <w:rPr>
          <w:i/>
        </w:rPr>
        <w:t>NeuroImage</w:t>
      </w:r>
      <w:r>
        <w:t>, 11(6), 805-821.</w:t>
      </w:r>
    </w:p>
    <w:p>
      <w:pPr>
        <w:pStyle w:val="ListNumber"/>
        <w:spacing w:before="20" w:after="40"/>
      </w:pPr>
      <w:r>
        <w:t xml:space="preserve">Avants, B. B., Tustison, N. J., Song, G., Cook, P. A., Klein, A., &amp; Gee, J. C. (2009). A reproducible evaluation of ANTs similarity metric performance in 3D-to-3D pairwise image registration. </w:t>
      </w:r>
      <w:r>
        <w:rPr>
          <w:i/>
        </w:rPr>
        <w:t>NeuroImage</w:t>
      </w:r>
      <w:r>
        <w:t>, 54(3), 2033-2044.</w:t>
      </w:r>
    </w:p>
    <w:p>
      <w:pPr>
        <w:pStyle w:val="ListNumber"/>
        <w:spacing w:before="20" w:after="40"/>
      </w:pPr>
      <w:r>
        <w:t xml:space="preserve">Ballester, M. A. G., Zisserman, A., &amp; Brady, M. (2000). Estimation of the partial volume effect in MRI. </w:t>
      </w:r>
      <w:r>
        <w:rPr>
          <w:i/>
        </w:rPr>
        <w:t>Medical Image Analysis</w:t>
      </w:r>
      <w:r>
        <w:t>, 4(3), 185-200.</w:t>
      </w:r>
    </w:p>
    <w:p>
      <w:pPr>
        <w:pStyle w:val="ListNumber"/>
        <w:spacing w:before="20" w:after="40"/>
      </w:pPr>
      <w:r>
        <w:t xml:space="preserve">Campbell-Washburn, A. E., Ramasawmy, R., Brett, M. C., Bhattacharya, P., Neofytou, E., &amp; Shankaranarayanan, A. (2019). Opportunities in interventional and diagnostic imaging by using high-performance low-field MRI. </w:t>
      </w:r>
      <w:r>
        <w:rPr>
          <w:i/>
        </w:rPr>
        <w:t>Radiology</w:t>
      </w:r>
      <w:r>
        <w:t>, 293(2), 384-393.</w:t>
      </w:r>
    </w:p>
    <w:p>
      <w:pPr>
        <w:pStyle w:val="ListNumber"/>
        <w:spacing w:before="20" w:after="40"/>
      </w:pPr>
      <w:r>
        <w:t xml:space="preserve">Dewey, B. E., Zhao, C., Reinhold, J. C., Carass, A., Fitzgerald, K. C., Calabresi, P. A., ... &amp; Prince, J. L. (2019). DeepHarmony: Deep learning for cross-scanner harmonization in brain MRI. </w:t>
      </w:r>
      <w:r>
        <w:rPr>
          <w:i/>
        </w:rPr>
        <w:t>NeuroImage</w:t>
      </w:r>
      <w:r>
        <w:t>, 203, 116120.</w:t>
      </w:r>
    </w:p>
    <w:p>
      <w:pPr>
        <w:pStyle w:val="ListNumber"/>
        <w:spacing w:before="20" w:after="40"/>
      </w:pPr>
      <w:r>
        <w:t xml:space="preserve">Evans, W. A. (1942). An encephalographic ratio for evaluating ventricular enlargement and cerebral atrophy. </w:t>
      </w:r>
      <w:r>
        <w:rPr>
          <w:i/>
        </w:rPr>
        <w:t>Archives of Neurology &amp; Psychiatry</w:t>
      </w:r>
      <w:r>
        <w:t>, 47(6), 931-937.</w:t>
      </w:r>
    </w:p>
    <w:p>
      <w:pPr>
        <w:pStyle w:val="ListNumber"/>
        <w:spacing w:before="20" w:after="40"/>
      </w:pPr>
      <w:r>
        <w:t xml:space="preserve">Fischl, B. (2012). FreeSurfer. </w:t>
      </w:r>
      <w:r>
        <w:rPr>
          <w:i/>
        </w:rPr>
        <w:t>NeuroImage</w:t>
      </w:r>
      <w:r>
        <w:t>, 62(2), 774-781.</w:t>
      </w:r>
    </w:p>
    <w:p>
      <w:pPr>
        <w:pStyle w:val="ListNumber"/>
        <w:spacing w:before="20" w:after="40"/>
      </w:pPr>
      <w:r>
        <w:t xml:space="preserve">Fischl, B., Salat, D. H., Busa, E., Albert, M., Dieterich, M., Haselgrove, C., ... &amp; Dale, A. M. (2002). Whole brain segmentation: automated labeling of neuroanatomical structures in the human brain. </w:t>
      </w:r>
      <w:r>
        <w:rPr>
          <w:i/>
        </w:rPr>
        <w:t>Neuron</w:t>
      </w:r>
      <w:r>
        <w:t>, 33(3), 341-355.</w:t>
      </w:r>
    </w:p>
    <w:p>
      <w:pPr>
        <w:pStyle w:val="ListNumber"/>
        <w:spacing w:before="20" w:after="40"/>
      </w:pPr>
      <w:r>
        <w:t xml:space="preserve">Franke, K., Ziegler, G., Klöppel, S., Gaser, C., &amp; Alzheimer's Disease Neuroimaging Initiative. (2010). Estimating the age of healthy subjects from T1-weighted MRI scans using kernel methods: Exploring the influence of various parameters. </w:t>
      </w:r>
      <w:r>
        <w:rPr>
          <w:i/>
        </w:rPr>
        <w:t>NeuroImage</w:t>
      </w:r>
      <w:r>
        <w:t>, 50(3), 883-892.</w:t>
      </w:r>
    </w:p>
    <w:p>
      <w:pPr>
        <w:pStyle w:val="ListNumber"/>
        <w:spacing w:before="20" w:after="40"/>
      </w:pPr>
      <w:r>
        <w:t xml:space="preserve">Freeborough, P. A., Fox, N. C., &amp; Kitney, R. I. (1997). Interactive algorithms for the measurement of whole brain and lateral ventricle volumes on MRI. </w:t>
      </w:r>
      <w:r>
        <w:rPr>
          <w:i/>
        </w:rPr>
        <w:t>Magnetic Resonance Imaging</w:t>
      </w:r>
      <w:r>
        <w:t>, 15(7), 809-818.</w:t>
      </w:r>
    </w:p>
    <w:p>
      <w:pPr>
        <w:pStyle w:val="ListNumber"/>
        <w:spacing w:before="20" w:after="40"/>
      </w:pPr>
      <w:r>
        <w:t xml:space="preserve">Frisoni, G. B., Fox, N. C., Jack, C. R., Scheltens, P., &amp; Thompson, P. M. (2010). The clinical use of structural MRI in Alzheimer disease. </w:t>
      </w:r>
      <w:r>
        <w:rPr>
          <w:i/>
        </w:rPr>
        <w:t>Nature Reviews Neurology</w:t>
      </w:r>
      <w:r>
        <w:t>, 6(2), 67-77.</w:t>
      </w:r>
    </w:p>
    <w:p>
      <w:pPr>
        <w:pStyle w:val="ListNumber"/>
        <w:spacing w:before="20" w:after="40"/>
      </w:pPr>
      <w:r>
        <w:t xml:space="preserve">Geethanath, S., &amp; Vaughan, J. T. (2019). Accessible magnetic resonance imaging: A review. </w:t>
      </w:r>
      <w:r>
        <w:rPr>
          <w:i/>
        </w:rPr>
        <w:t>Journal of Magnetic Resonance Imaging</w:t>
      </w:r>
      <w:r>
        <w:t>, 49(7), e65-e77.</w:t>
      </w:r>
    </w:p>
    <w:p>
      <w:pPr>
        <w:pStyle w:val="ListNumber"/>
        <w:spacing w:before="20" w:after="40"/>
      </w:pPr>
      <w:r>
        <w:t xml:space="preserve">Gelman, A., Carlin, J. B., Stern, H. S., Dunson, D. B., Vehtari, A., &amp; Rubin, D. B. (2013). </w:t>
      </w:r>
      <w:r>
        <w:rPr>
          <w:i/>
        </w:rPr>
        <w:t>Bayesian Data Analysis</w:t>
      </w:r>
      <w:r>
        <w:t xml:space="preserve"> (3rd ed.). CRC Press.</w:t>
      </w:r>
    </w:p>
    <w:p>
      <w:pPr>
        <w:pStyle w:val="ListNumber"/>
        <w:spacing w:before="20" w:after="40"/>
      </w:pPr>
      <w:r>
        <w:t xml:space="preserve">Ghassemi, M. M., Richterman, A., Eche, I. M., Chen, T. W., &amp; Daneshjou, R. (2020). The impact of intravenous contrast agents on automated volumetric neuroimaging: a systematic appraisal. </w:t>
      </w:r>
      <w:r>
        <w:rPr>
          <w:i/>
        </w:rPr>
        <w:t>Journal of Digital Imaging</w:t>
      </w:r>
      <w:r>
        <w:t>, 33(4), 982-991.</w:t>
      </w:r>
    </w:p>
    <w:p>
      <w:pPr>
        <w:pStyle w:val="ListNumber"/>
        <w:spacing w:before="20" w:after="40"/>
      </w:pPr>
      <w:r>
        <w:t xml:space="preserve">Gorgolewski, K. J., Auer, T., Calhoun, V. D., Craddock, R. C., Das, S., Duff, E. P., ... &amp; Poldrack, R. A. (2016). The brain imaging data structure, a format for organizing and describing outputs of neuroimaging experiments. </w:t>
      </w:r>
      <w:r>
        <w:rPr>
          <w:i/>
        </w:rPr>
        <w:t>Scientific Data</w:t>
      </w:r>
      <w:r>
        <w:t>, 3(1), 160044.</w:t>
      </w:r>
    </w:p>
    <w:p>
      <w:pPr>
        <w:pStyle w:val="ListNumber"/>
        <w:spacing w:before="20" w:after="40"/>
      </w:pPr>
      <w:r>
        <w:t xml:space="preserve">Gronenschild, E. H., Habets, P., Jacobs, H. I., Mengelers, R., Rozendaal, N., van Os, J., &amp; Marcelis, M. (2012). The effects of FreeSurfer version, workstation type, and Macintosh operating system version on anatomical volume and cortical thickness measurements. </w:t>
      </w:r>
      <w:r>
        <w:rPr>
          <w:i/>
        </w:rPr>
        <w:t>PLoS ONE</w:t>
      </w:r>
      <w:r>
        <w:t>, 7(6), e38234.</w:t>
      </w:r>
    </w:p>
    <w:p>
      <w:pPr>
        <w:pStyle w:val="ListNumber"/>
        <w:spacing w:before="20" w:after="40"/>
      </w:pPr>
      <w:r>
        <w:t xml:space="preserve">Hoffman, M. D., &amp; Gelman, A. (2014). The No-U-Turn sampler: adaptively setting path lengths in Hamiltonian Monte Carlo. </w:t>
      </w:r>
      <w:r>
        <w:rPr>
          <w:i/>
        </w:rPr>
        <w:t>Journal of Machine Learning Research</w:t>
      </w:r>
      <w:r>
        <w:t>, 15(1), 1593-1623.</w:t>
      </w:r>
    </w:p>
    <w:p>
      <w:pPr>
        <w:pStyle w:val="ListNumber"/>
        <w:spacing w:before="20" w:after="40"/>
      </w:pPr>
      <w:r>
        <w:t xml:space="preserve">Jack, C. R., Bernstein, M. A., Fox, N. C., Thompson, P., Alexander, G., Harvey, D., ... &amp; Weiner, M. W. (2008). The Alzheimer's Disease Neuroimaging Initiative (ADNI): MRI methods. </w:t>
      </w:r>
      <w:r>
        <w:rPr>
          <w:i/>
        </w:rPr>
        <w:t>Journal of Magnetic Resonance Imaging</w:t>
      </w:r>
      <w:r>
        <w:t>, 27(4), 685-691.</w:t>
      </w:r>
    </w:p>
    <w:p>
      <w:pPr>
        <w:pStyle w:val="ListNumber"/>
        <w:spacing w:before="20" w:after="40"/>
      </w:pPr>
      <w:r>
        <w:t xml:space="preserve">Jack, C. R., Bernstein, M. A., Borowski, B. J., Gunter, J. L., Fox, N. C., Thompson, P. M., ... &amp; Weiner, M. W. (2010). Update on the magnetic resonance imaging core of the Alzheimer's disease neuroimaging initiative. </w:t>
      </w:r>
      <w:r>
        <w:rPr>
          <w:i/>
        </w:rPr>
        <w:t>Alzheimer's &amp; Dementia</w:t>
      </w:r>
      <w:r>
        <w:t>, 6(3), 212-220.</w:t>
      </w:r>
    </w:p>
    <w:p>
      <w:pPr>
        <w:pStyle w:val="ListNumber"/>
        <w:spacing w:before="20" w:after="40"/>
      </w:pPr>
      <w:r>
        <w:t xml:space="preserve">Jenkinson, M., Beckmann, C. F., Behrens, T. E., Woolrich, M. W., &amp; Smith, S. M. (2012). FSL. </w:t>
      </w:r>
      <w:r>
        <w:rPr>
          <w:i/>
        </w:rPr>
        <w:t>NeuroImage</w:t>
      </w:r>
      <w:r>
        <w:t>, 62(2), 782-790.</w:t>
      </w:r>
    </w:p>
    <w:p>
      <w:pPr>
        <w:pStyle w:val="ListNumber"/>
        <w:spacing w:before="20" w:after="40"/>
      </w:pPr>
      <w:r>
        <w:t xml:space="preserve">Kempton, M. J., Underwood, T. S., Brunton, S., Stylianou, F., Pelusi, S., Zheng, B., ... &amp; Collaborators. (2011). A comprehensive testing protocol for automated brain segmentation methods in psychiatric disorders. </w:t>
      </w:r>
      <w:r>
        <w:rPr>
          <w:i/>
        </w:rPr>
        <w:t>NeuroImage</w:t>
      </w:r>
      <w:r>
        <w:t>, 58(4), 1051-1059.</w:t>
      </w:r>
    </w:p>
    <w:p>
      <w:pPr>
        <w:pStyle w:val="ListNumber"/>
        <w:spacing w:before="20" w:after="40"/>
      </w:pPr>
      <w:r>
        <w:t xml:space="preserve">Kostro, D., Abdulkadir, A., Durr, A., Roos, R., Leavitt, B. R., Johnson, H., ... &amp; Klöppel, S. (2014). Correcting for sequence and scanner differences in multi-site brain MRI. </w:t>
      </w:r>
      <w:r>
        <w:rPr>
          <w:i/>
        </w:rPr>
        <w:t>NeuroImage</w:t>
      </w:r>
      <w:r>
        <w:t>, 98, 307-316.</w:t>
      </w:r>
    </w:p>
    <w:p>
      <w:pPr>
        <w:pStyle w:val="ListNumber"/>
        <w:spacing w:before="20" w:after="40"/>
      </w:pPr>
      <w:r>
        <w:t xml:space="preserve">Marques, J. P., Simonis, F. F., &amp; Webb, A. G. (2019). Low-field MRI: An MR physics perspective. </w:t>
      </w:r>
      <w:r>
        <w:rPr>
          <w:i/>
        </w:rPr>
        <w:t>Journal of Magnetic Resonance Imaging</w:t>
      </w:r>
      <w:r>
        <w:t>, 49(6), 1528-1542.</w:t>
      </w:r>
    </w:p>
    <w:p>
      <w:pPr>
        <w:pStyle w:val="ListNumber"/>
        <w:spacing w:before="20" w:after="40"/>
      </w:pPr>
      <w:r>
        <w:t xml:space="preserve">McElreath, R. (2020). </w:t>
      </w:r>
      <w:r>
        <w:rPr>
          <w:i/>
        </w:rPr>
        <w:t>Statistical Rethinking: A Bayesian Course with Examples in R and Stan</w:t>
      </w:r>
      <w:r>
        <w:t xml:space="preserve"> (2nd ed.). CRC Press.</w:t>
      </w:r>
    </w:p>
    <w:p>
      <w:pPr>
        <w:pStyle w:val="ListNumber"/>
        <w:spacing w:before="20" w:after="40"/>
      </w:pPr>
      <w:r>
        <w:t xml:space="preserve">Ogbole, G. I., Adeyinka, A. O., Okolo, C. A., Ogunseyinde, A. O., &amp; Atalabi, O. M. (2018). Low field magnetic resonance imaging: The Nigerian experience. </w:t>
      </w:r>
      <w:r>
        <w:rPr>
          <w:i/>
        </w:rPr>
        <w:t>West African Journal of Radiology</w:t>
      </w:r>
      <w:r>
        <w:t>, 25(2), 112-118.</w:t>
      </w:r>
    </w:p>
    <w:p>
      <w:pPr>
        <w:pStyle w:val="ListNumber"/>
        <w:spacing w:before="20" w:after="40"/>
      </w:pPr>
      <w:r>
        <w:t xml:space="preserve">Patenaude, B., Smith, S. M., Kennedy, D. N., &amp; Jenkinson, M. (2011). A Bayesian model of shape and appearance for subcortical greens. </w:t>
      </w:r>
      <w:r>
        <w:rPr>
          <w:i/>
        </w:rPr>
        <w:t>NeuroImage</w:t>
      </w:r>
      <w:r>
        <w:t>, 56(3), 907-922.</w:t>
      </w:r>
    </w:p>
    <w:p>
      <w:pPr>
        <w:pStyle w:val="ListNumber"/>
        <w:spacing w:before="20" w:after="40"/>
      </w:pPr>
      <w:r>
        <w:t xml:space="preserve">Relkin, N., Marmarou, A., Klinge, P., Bergsneider, M., &amp; Black, P. M. (2005). Diagnosing idiopathic normal-pressure hydrocephalus. </w:t>
      </w:r>
      <w:r>
        <w:rPr>
          <w:i/>
        </w:rPr>
        <w:t>Neurosurgery</w:t>
      </w:r>
      <w:r>
        <w:t>, 57(suppl_3), S2-4.</w:t>
      </w:r>
    </w:p>
    <w:p>
      <w:pPr>
        <w:pStyle w:val="ListNumber"/>
        <w:spacing w:before="20" w:after="40"/>
      </w:pPr>
      <w:r>
        <w:t xml:space="preserve">Rudick, R. A., Fisher, E., Lee, J. C., Simon, J., &amp; Jacobs, L. (1999). Use of the brain parenchymal fraction to measure change in brain volume in multiple sclerosis. </w:t>
      </w:r>
      <w:r>
        <w:rPr>
          <w:i/>
        </w:rPr>
        <w:t>Archives of Neurology</w:t>
      </w:r>
      <w:r>
        <w:t>, 56(7), 808-816.</w:t>
      </w:r>
    </w:p>
    <w:p>
      <w:pPr>
        <w:pStyle w:val="ListNumber"/>
        <w:spacing w:before="20" w:after="40"/>
      </w:pPr>
      <w:r>
        <w:t xml:space="preserve">Sorensen, A. G. (2006). Magnetic resonance imaging: basic principles and applications in clinical neuroscience. </w:t>
      </w:r>
      <w:r>
        <w:rPr>
          <w:i/>
        </w:rPr>
        <w:t>Neuron</w:t>
      </w:r>
      <w:r>
        <w:t>, 52(1), 17-26.</w:t>
      </w:r>
    </w:p>
    <w:p>
      <w:pPr>
        <w:pStyle w:val="ListNumber"/>
        <w:spacing w:before="20" w:after="40"/>
      </w:pPr>
      <w:r>
        <w:t xml:space="preserve">Synek, V., &amp; Reuben, J. R. (1976). The ventricular-brain ratio using planimetric measurement of EMI scans. </w:t>
      </w:r>
      <w:r>
        <w:rPr>
          <w:i/>
        </w:rPr>
        <w:t>The British Journal of Radiology</w:t>
      </w:r>
      <w:r>
        <w:t>, 49(579), 233-237.</w:t>
      </w:r>
    </w:p>
    <w:p>
      <w:pPr>
        <w:pStyle w:val="ListNumber"/>
        <w:spacing w:before="20" w:after="40"/>
      </w:pPr>
      <w:r>
        <w:t xml:space="preserve">Tohka, J. (2014). Partial volume effect modeling for segmentation and tissue classification of brain magnetic resonance images: A review. </w:t>
      </w:r>
      <w:r>
        <w:rPr>
          <w:i/>
        </w:rPr>
        <w:t>World Journal of Radiology</w:t>
      </w:r>
      <w:r>
        <w:t>, 6(11), 855-864.</w:t>
      </w:r>
    </w:p>
    <w:p>
      <w:pPr>
        <w:pStyle w:val="ListNumber"/>
        <w:spacing w:before="20" w:after="40"/>
      </w:pPr>
      <w:r>
        <w:t xml:space="preserve">Van Essen, D. C., Ugurbil, K., Auerbach, E., Barch, D., Behrens, T. E., Bucholz, R., ... &amp; WU-Minn HCP Consortium. (2012). The Human Connectome Project: a data acquisition perspective. </w:t>
      </w:r>
      <w:r>
        <w:rPr>
          <w:i/>
        </w:rPr>
        <w:t>NeuroImage</w:t>
      </w:r>
      <w:r>
        <w:t>, 62(4), 2222-2231.</w:t>
      </w:r>
    </w:p>
    <w:p>
      <w:pPr>
        <w:pStyle w:val="ListNumber"/>
        <w:spacing w:before="20" w:after="40"/>
      </w:pPr>
      <w:r>
        <w:t xml:space="preserve">Wonderlick, J. S., Ziegler, D. A., Hosseini-Varnsambi, N., Locascio, J. J., Bakkour, A., van der Kouwe, A., ... &amp; Dickerson, B. C. (2009). Reliability of automated brain volume and cortical thickness measurements across MRI field strengths and manufacturers. </w:t>
      </w:r>
      <w:r>
        <w:rPr>
          <w:i/>
        </w:rPr>
        <w:t>NeuroImage</w:t>
      </w:r>
      <w:r>
        <w:t>, 44(4), 1324-1333.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