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Stack Bar Chart:</w:t>
      </w:r>
      <w:r w:rsidDel="00000000" w:rsidR="00000000" w:rsidRPr="00000000">
        <w:rPr>
          <w:sz w:val="24"/>
          <w:szCs w:val="24"/>
          <w:rtl w:val="0"/>
        </w:rPr>
        <w:t xml:space="preserve"> The preparation code for this chart sets up 3 sections for each bar. They are used to separate unrecovered, recovered, and death statistics for each country. The markers specify colors for each of these 3 sections and there are 3 sections per country, which is pulled from the data file.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Line Chart: </w:t>
      </w:r>
      <w:r w:rsidDel="00000000" w:rsidR="00000000" w:rsidRPr="00000000">
        <w:rPr>
          <w:sz w:val="24"/>
          <w:szCs w:val="24"/>
          <w:rtl w:val="0"/>
        </w:rPr>
        <w:t xml:space="preserve">In this section of code, “preparing data” sets the x axis as the date and the y axis as the confirmed cases, Furthermore, the mode is set as ‘lines’. The data is then pulled from the data file given in order to produce the final result.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Multi Line Chart: </w:t>
      </w:r>
      <w:r w:rsidDel="00000000" w:rsidR="00000000" w:rsidRPr="00000000">
        <w:rPr>
          <w:sz w:val="24"/>
          <w:szCs w:val="24"/>
          <w:rtl w:val="0"/>
        </w:rPr>
        <w:t xml:space="preserve">The preparation code for this chart is similar to the line chart from the previous example with the addition of traces creating 3 separate lines. They are for deaths, recovered, and unrecovered cases respectively. This allows the user to see the separation between different types of recorded cases.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Bubble Chart: </w:t>
      </w:r>
      <w:r w:rsidDel="00000000" w:rsidR="00000000" w:rsidRPr="00000000">
        <w:rPr>
          <w:sz w:val="24"/>
          <w:szCs w:val="24"/>
          <w:rtl w:val="0"/>
        </w:rPr>
        <w:t xml:space="preserve">In this example, the preparation code creates markers that scale on the x axis based on recovered, on the y axis based on unrecovered, and on size based on confirmed cases. Each bubble represents a country which is displayed when the cursor is held above the marker.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Heatmap: </w:t>
      </w:r>
      <w:r w:rsidDel="00000000" w:rsidR="00000000" w:rsidRPr="00000000">
        <w:rPr>
          <w:sz w:val="24"/>
          <w:szCs w:val="24"/>
          <w:rtl w:val="0"/>
        </w:rPr>
        <w:t xml:space="preserve">In this section of code, the positioning of the boxes is based on week and day of the month while the color of the boxes is pulled from the number of recovered cases. ‘Jet’ specifies the color scale to be used to help visualize the data.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