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9E665" w14:textId="77777777" w:rsidR="00CA2809" w:rsidRDefault="00CA2809" w:rsidP="00CA2809">
      <w:pPr>
        <w:pStyle w:val="Title"/>
      </w:pPr>
      <w:r>
        <w:t>Communities to Clean Data Source Comparison</w:t>
      </w:r>
    </w:p>
    <w:p w14:paraId="0BFEB7DB" w14:textId="77777777" w:rsidR="00CA2809" w:rsidRDefault="00CA2809" w:rsidP="00CA2809"/>
    <w:p w14:paraId="3E0963F5" w14:textId="77777777" w:rsidR="00CA2809" w:rsidRDefault="00CA2809" w:rsidP="00CA2809"/>
    <w:p w14:paraId="59182EB9" w14:textId="77777777" w:rsidR="00CA2809" w:rsidRDefault="00CA2809" w:rsidP="00CA2809"/>
    <w:p w14:paraId="05206F8B" w14:textId="094C8F0A" w:rsidR="00CA2809" w:rsidRPr="00CA2809" w:rsidRDefault="00CA2809" w:rsidP="00CA2809">
      <w:pPr>
        <w:sectPr w:rsidR="00CA2809" w:rsidRPr="00CA2809" w:rsidSect="00CA2809">
          <w:pgSz w:w="12240" w:h="15840"/>
          <w:pgMar w:top="1440" w:right="1440" w:bottom="1440" w:left="1440" w:header="720" w:footer="720" w:gutter="0"/>
          <w:cols w:space="720"/>
          <w:docGrid w:linePitch="360"/>
        </w:sectPr>
      </w:pPr>
    </w:p>
    <w:p w14:paraId="70298D58" w14:textId="5D0D169D" w:rsidR="00CA2809" w:rsidRPr="004C71B9" w:rsidRDefault="00CA2809" w:rsidP="00CA2809">
      <w:pPr>
        <w:pStyle w:val="Heading1"/>
        <w:rPr>
          <w:sz w:val="24"/>
          <w:szCs w:val="24"/>
        </w:rPr>
      </w:pPr>
      <w:r w:rsidRPr="004C71B9">
        <w:rPr>
          <w:sz w:val="24"/>
          <w:szCs w:val="24"/>
        </w:rPr>
        <w:t>Abstract</w:t>
      </w:r>
    </w:p>
    <w:p w14:paraId="5A297A4C" w14:textId="33EB4BDC" w:rsidR="00CA2809" w:rsidRDefault="006B1891" w:rsidP="00CA2809">
      <w:pPr>
        <w:ind w:firstLine="288"/>
      </w:pPr>
      <w:r>
        <w:t>The primary focus</w:t>
      </w:r>
      <w:r w:rsidR="00CA2809">
        <w:t xml:space="preserve"> of the Communities to Clean project is presenting community leaders with easily accessible data that can </w:t>
      </w:r>
      <w:r>
        <w:t xml:space="preserve">enable them to site renewable energy projects without an extensive monetary commitment. In order for this to be successful, users need to have access to a variety of data sources that can present a comprehensive view of a certain site. As a result, this report aims to offer an in-depth comparison of the possible </w:t>
      </w:r>
      <w:r w:rsidR="00BB0F5E">
        <w:t>data sources, in order to justify their inclusion in the project and clearly present their strengths and limitations.</w:t>
      </w:r>
    </w:p>
    <w:p w14:paraId="64CA11CF" w14:textId="18672C72" w:rsidR="00BB0F5E" w:rsidRDefault="00BB0F5E" w:rsidP="00CA2809">
      <w:pPr>
        <w:ind w:firstLine="288"/>
      </w:pPr>
      <w:r>
        <w:t xml:space="preserve">The data sources that will be compared in this report are NASA POWER, the Department of Energy’s Wind Toolkit, Open Weather, the National Weather Service’s API, and meteorologic tower data from the Alaska Energy Authority. These sources were each selected because they offered an advantage not present in the others. Although they each have </w:t>
      </w:r>
      <w:r w:rsidR="004C71B9">
        <w:t>downfalls, the hope of this project is that through the presentation of multiple public data sources, with clearly analyzed assumptions, renewable energy siting can be done significantly quicker and cheaper.</w:t>
      </w:r>
    </w:p>
    <w:p w14:paraId="6A84A0D5" w14:textId="1575524B" w:rsidR="004C71B9" w:rsidRDefault="004C71B9" w:rsidP="004C71B9">
      <w:pPr>
        <w:pStyle w:val="Heading1"/>
      </w:pPr>
      <w:r>
        <w:t>Data</w:t>
      </w:r>
    </w:p>
    <w:p w14:paraId="50E2B4E0" w14:textId="0DC3B702" w:rsidR="004C71B9" w:rsidRDefault="004C71B9" w:rsidP="004C71B9">
      <w:pPr>
        <w:pStyle w:val="Heading2"/>
      </w:pPr>
      <w:r>
        <w:t>NASA POWER</w:t>
      </w:r>
    </w:p>
    <w:p w14:paraId="28507D9A" w14:textId="5D5034C7" w:rsidR="004C71B9" w:rsidRDefault="00410E5A" w:rsidP="004C71B9">
      <w:r>
        <w:tab/>
        <w:t xml:space="preserve">NASA’s Prediction Of Worldwide Energy Resources (POWER) aims to provide public access to </w:t>
      </w:r>
      <w:r w:rsidR="00F63885">
        <w:t>predictive meteorologic data</w:t>
      </w:r>
      <w:r w:rsidR="00F63885">
        <w:rPr>
          <w:rStyle w:val="FootnoteReference"/>
        </w:rPr>
        <w:footnoteReference w:id="1"/>
      </w:r>
      <w:r w:rsidR="000E2881">
        <w:t xml:space="preserve">. </w:t>
      </w:r>
      <w:r w:rsidR="008956EE">
        <w:t xml:space="preserve">POWER leverages NASA’s extensive data collection and processing abilities to extrapolate meteorologic information for any point on earth. This makes it an incredibly versatile data source, that can help </w:t>
      </w:r>
      <w:r w:rsidR="008956EE">
        <w:t xml:space="preserve">intimate information for more remote locations that other data sources may </w:t>
      </w:r>
      <w:r w:rsidR="006A287F">
        <w:t>miss.</w:t>
      </w:r>
    </w:p>
    <w:p w14:paraId="69058CE8" w14:textId="167768B3" w:rsidR="006A287F" w:rsidRDefault="006A287F" w:rsidP="004C71B9">
      <w:r>
        <w:tab/>
        <w:t>It offers a spatial resolution of .5° x .625°</w:t>
      </w:r>
      <w:r w:rsidR="00C47452">
        <w:t>, which is incredibly low. Depending on the location, meteorologic tower data can often be found within this range, which has the benefit of being empirically collected data. However, the advantage of the NASA data is that its vertical interpolation, to account for hub height, is done within a consistent model, where meteorologic tower data would require its own interpolation.</w:t>
      </w:r>
    </w:p>
    <w:p w14:paraId="7DF85C70" w14:textId="0066F6DC" w:rsidR="00C47452" w:rsidRDefault="00C47452" w:rsidP="004C71B9">
      <w:r>
        <w:tab/>
      </w:r>
      <w:r w:rsidR="006040EA">
        <w:t xml:space="preserve">Its temporal </w:t>
      </w:r>
      <w:r w:rsidR="007C421F">
        <w:t>resolution is an hourly average, which is standard for these data sources and has data from “1981 to within several months of real time</w:t>
      </w:r>
      <w:r w:rsidR="00E1548E">
        <w:t>.</w:t>
      </w:r>
      <w:r w:rsidR="007C421F">
        <w:t>”</w:t>
      </w:r>
      <w:r w:rsidR="007C421F">
        <w:rPr>
          <w:rStyle w:val="FootnoteReference"/>
        </w:rPr>
        <w:footnoteReference w:id="2"/>
      </w:r>
      <w:r w:rsidR="00E1548E">
        <w:t xml:space="preserve"> This means that it has the greatest data availability of any of these sources, large</w:t>
      </w:r>
      <w:r w:rsidR="007868ED">
        <w:t>ly</w:t>
      </w:r>
      <w:r w:rsidR="00E1548E">
        <w:t xml:space="preserve"> thanks to the strength of NASA’s predictions. </w:t>
      </w:r>
      <w:r w:rsidR="007868ED">
        <w:t>The other major advantage of this source is that it comes with a built-in corrected wind speed model.</w:t>
      </w:r>
      <w:r w:rsidR="007868ED">
        <w:rPr>
          <w:rStyle w:val="FootnoteReference"/>
        </w:rPr>
        <w:footnoteReference w:id="3"/>
      </w:r>
      <w:r w:rsidR="007868ED">
        <w:t xml:space="preserve"> Users can input the terrain type of the site that they are considering, and NASA will use this information to more accurately predict how the wind speed will change with hub height. This is significantly more accurate than the other vertical interpolation models that will be used, so it is a huge advantage of this data source.</w:t>
      </w:r>
    </w:p>
    <w:p w14:paraId="09190581" w14:textId="7D4C0A1A" w:rsidR="007868ED" w:rsidRDefault="001B2543" w:rsidP="004C71B9">
      <w:r>
        <w:tab/>
        <w:t>Overall NASA POWER is the most comprehensive of these sources, offering a large variety of data, with the major caveat that little to none of it is empirically collected. The accuracy is entirely dependent on NASA’s models and the undisclosed availability of information that they have.</w:t>
      </w:r>
    </w:p>
    <w:p w14:paraId="692C71FE" w14:textId="55542CFA" w:rsidR="001B2543" w:rsidRDefault="001B2543" w:rsidP="001B2543">
      <w:pPr>
        <w:pStyle w:val="Heading2"/>
      </w:pPr>
      <w:r>
        <w:t>Wind Toolkit</w:t>
      </w:r>
    </w:p>
    <w:p w14:paraId="06999B2F" w14:textId="332AAC58" w:rsidR="001B2543" w:rsidRDefault="001B2543" w:rsidP="001B2543">
      <w:r>
        <w:tab/>
        <w:t xml:space="preserve">The Department of Energy’s Wind Toolkit operates in a similar manner, instead using </w:t>
      </w:r>
      <w:r w:rsidR="0058021D">
        <w:t>data from wind turbines to source more empirical power information.</w:t>
      </w:r>
      <w:r w:rsidR="003C4E2C">
        <w:rPr>
          <w:rStyle w:val="FootnoteReference"/>
        </w:rPr>
        <w:footnoteReference w:id="4"/>
      </w:r>
      <w:r w:rsidR="0058021D">
        <w:t xml:space="preserve"> The extrapolations for this source are slightly more limited, likely to account for the greater accuracy it can provide. </w:t>
      </w:r>
      <w:r w:rsidR="0058021D">
        <w:lastRenderedPageBreak/>
        <w:t>It only has data for the continental United States and is incredibly limited in Alaska (citation needed).</w:t>
      </w:r>
    </w:p>
    <w:p w14:paraId="07226C43" w14:textId="689731AC" w:rsidR="003C4E2C" w:rsidRDefault="003C4E2C" w:rsidP="001B2543">
      <w:r>
        <w:tab/>
        <w:t xml:space="preserve">However, these limitations mean that it can provide the highest spatial and temporal resolution. </w:t>
      </w:r>
      <w:r w:rsidR="00A317CA">
        <w:t xml:space="preserve">It has a spatial resolution of 2km x 2km (or about 0.018° x 0.018°), and a temporal resolution of down to a </w:t>
      </w:r>
      <w:r w:rsidR="00DC1554">
        <w:t>5-minute</w:t>
      </w:r>
      <w:r w:rsidR="00A317CA">
        <w:t xml:space="preserve"> average, which is something that none of the other data sources can offer. This is somewhat limited by the data only being available from 2007-2013, but </w:t>
      </w:r>
      <w:r w:rsidR="00DC1554">
        <w:t>still provides incredibly specific information if it’s required.</w:t>
      </w:r>
    </w:p>
    <w:p w14:paraId="0B599018" w14:textId="27F4F575" w:rsidR="00DC1554" w:rsidRDefault="00DC1554" w:rsidP="001B2543">
      <w:r>
        <w:tab/>
        <w:t xml:space="preserve">Its vertical interpolation is based on a different model than NASA’s Corrected Wind Speed and doesn’t account for terrain type. This means that it could be slightly less accurate, but for higher hub heights, it should be reasonably irrelevant. It provides information for the discrete hub heights of </w:t>
      </w:r>
      <w:r w:rsidRPr="00DC1554">
        <w:t>10, 40, 60, 80, 100, 120, 140, 160</w:t>
      </w:r>
      <w:r>
        <w:t xml:space="preserve"> and 200m, but if a more specific value was required, it could be done with a simple calculation.</w:t>
      </w:r>
    </w:p>
    <w:p w14:paraId="72B3B19C" w14:textId="686ACEDD" w:rsidR="0066134F" w:rsidRDefault="00DC1554" w:rsidP="001B2543">
      <w:r>
        <w:tab/>
        <w:t xml:space="preserve">For data limited to the US, Wind Toolkit is one of the most comprehensive sources, with some small technical limitations. </w:t>
      </w:r>
      <w:r w:rsidR="0042667D">
        <w:t>Due to the large nature of the data, instead of responding to an API call with a JSON or csv, a download link is provided with an email being sent to the requester when the data is finished being analyzed. While this isn’t the largest obstacle in aggregating this data, it makes it significantly harder to present in a front-end web application and will make it significantly more inaccessible to community leaders. On top of this, each API call should provide all required data in one call, which means that rate limiting isn’t a major issue. The caveat here is that the request size is limited instead by the defined request weight.</w:t>
      </w:r>
    </w:p>
    <w:p w14:paraId="648EEA72" w14:textId="77777777" w:rsidR="0066134F" w:rsidRDefault="0066134F" w:rsidP="001B2543"/>
    <w:p w14:paraId="57D89F67" w14:textId="59C50269" w:rsidR="0066134F" w:rsidRPr="0066134F" w:rsidRDefault="0066134F" w:rsidP="001B2543">
      <w:pPr>
        <w:rPr>
          <w:rFonts w:eastAsiaTheme="minorEastAsia"/>
        </w:rPr>
      </w:pPr>
      <m:oMathPara>
        <m:oMath>
          <m:r>
            <m:rPr>
              <m:nor/>
            </m:rPr>
            <w:rPr>
              <w:rFonts w:ascii="Cambria Math" w:hAnsi="Cambria Math"/>
            </w:rPr>
            <m:t>Request Weight</m:t>
          </m:r>
          <m:r>
            <w:rPr>
              <w:rFonts w:ascii="Cambria Math" w:hAnsi="Cambria Math"/>
            </w:rPr>
            <m:t>=</m:t>
          </m:r>
          <m:r>
            <m:rPr>
              <m:nor/>
            </m:rPr>
            <w:rPr>
              <w:rFonts w:ascii="Cambria Math" w:hAnsi="Cambria Math"/>
            </w:rPr>
            <m:t>site-count</m:t>
          </m:r>
          <m:r>
            <w:rPr>
              <w:rFonts w:ascii="Cambria Math" w:hAnsi="Cambria Math"/>
            </w:rPr>
            <m:t>*</m:t>
          </m:r>
          <m:r>
            <m:rPr>
              <m:nor/>
            </m:rPr>
            <w:rPr>
              <w:rFonts w:ascii="Cambria Math" w:hAnsi="Cambria Math"/>
            </w:rPr>
            <m:t>attribute-count</m:t>
          </m:r>
          <m:r>
            <w:rPr>
              <w:rFonts w:ascii="Cambria Math" w:hAnsi="Cambria Math"/>
            </w:rPr>
            <m:t>*</m:t>
          </m:r>
          <m:r>
            <m:rPr>
              <m:nor/>
            </m:rPr>
            <w:rPr>
              <w:rFonts w:ascii="Cambria Math" w:hAnsi="Cambria Math"/>
            </w:rPr>
            <m:t>year-count</m:t>
          </m:r>
          <m:r>
            <w:rPr>
              <w:rFonts w:ascii="Cambria Math" w:hAnsi="Cambria Math"/>
            </w:rPr>
            <m:t>*</m:t>
          </m:r>
          <m:r>
            <m:rPr>
              <m:nor/>
            </m:rPr>
            <w:rPr>
              <w:rFonts w:ascii="Cambria Math" w:hAnsi="Cambria Math"/>
            </w:rPr>
            <m:t>data-intervals-per-year</m:t>
          </m:r>
        </m:oMath>
      </m:oMathPara>
    </w:p>
    <w:p w14:paraId="75FA5EAB" w14:textId="77777777" w:rsidR="0066134F" w:rsidRDefault="0066134F" w:rsidP="001B2543"/>
    <w:p w14:paraId="65745CC0" w14:textId="5E2E6330" w:rsidR="00E023B9" w:rsidRDefault="0066134F" w:rsidP="00E023B9">
      <w:pPr>
        <w:rPr>
          <w:rStyle w:val="Emphasis"/>
          <w:sz w:val="18"/>
          <w:szCs w:val="18"/>
        </w:rPr>
      </w:pPr>
      <w:r>
        <w:rPr>
          <w:rStyle w:val="Emphasis"/>
          <w:sz w:val="18"/>
          <w:szCs w:val="18"/>
        </w:rPr>
        <w:t xml:space="preserve">Equation 1 Request Weight, Wind Toolkit allows for a max request weight of </w:t>
      </w:r>
      <w:r w:rsidR="00A201DF">
        <w:rPr>
          <w:rStyle w:val="Emphasis"/>
          <w:sz w:val="18"/>
          <w:szCs w:val="18"/>
        </w:rPr>
        <w:t xml:space="preserve">175,000,000. Site count is based on the </w:t>
      </w:r>
      <w:proofErr w:type="gramStart"/>
      <w:r w:rsidR="00A201DF">
        <w:rPr>
          <w:rStyle w:val="Emphasis"/>
          <w:sz w:val="18"/>
          <w:szCs w:val="18"/>
        </w:rPr>
        <w:t>amount</w:t>
      </w:r>
      <w:proofErr w:type="gramEnd"/>
      <w:r w:rsidR="00A201DF">
        <w:rPr>
          <w:rStyle w:val="Emphasis"/>
          <w:sz w:val="18"/>
          <w:szCs w:val="18"/>
        </w:rPr>
        <w:t xml:space="preserve"> of sites containing data for a certain point. Attribute count is the number of data points requested. Year count is how many years of data were requested. Data intervals per year is how many points of data are being requested every year.</w:t>
      </w:r>
    </w:p>
    <w:p w14:paraId="34A00AF8" w14:textId="18855EEA" w:rsidR="00E023B9" w:rsidRDefault="00E023B9" w:rsidP="00E023B9">
      <w:r>
        <w:tab/>
        <w:t>If used properly, Wind Toolkit is a strong dataset for siting renewable energy projects in the US. It has the same limitations as other model-based data sources, but the advantage of being significantly more accurate.</w:t>
      </w:r>
    </w:p>
    <w:p w14:paraId="7DDBBAAB" w14:textId="77777777" w:rsidR="00E023B9" w:rsidRPr="00E023B9" w:rsidRDefault="00E023B9" w:rsidP="00E023B9">
      <w:pPr>
        <w:pStyle w:val="Heading2"/>
      </w:pPr>
    </w:p>
    <w:sectPr w:rsidR="00E023B9" w:rsidRPr="00E023B9" w:rsidSect="004C71B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9D4E" w14:textId="77777777" w:rsidR="00DD6D88" w:rsidRDefault="00DD6D88" w:rsidP="00F63885">
      <w:r>
        <w:separator/>
      </w:r>
    </w:p>
  </w:endnote>
  <w:endnote w:type="continuationSeparator" w:id="0">
    <w:p w14:paraId="15669185" w14:textId="77777777" w:rsidR="00DD6D88" w:rsidRDefault="00DD6D88" w:rsidP="00F63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38F91" w14:textId="77777777" w:rsidR="00DD6D88" w:rsidRDefault="00DD6D88" w:rsidP="00F63885">
      <w:r>
        <w:separator/>
      </w:r>
    </w:p>
  </w:footnote>
  <w:footnote w:type="continuationSeparator" w:id="0">
    <w:p w14:paraId="17C91286" w14:textId="77777777" w:rsidR="00DD6D88" w:rsidRDefault="00DD6D88" w:rsidP="00F63885">
      <w:r>
        <w:continuationSeparator/>
      </w:r>
    </w:p>
  </w:footnote>
  <w:footnote w:id="1">
    <w:p w14:paraId="4FBAD236" w14:textId="690541F4" w:rsidR="00F63885" w:rsidRPr="00E1548E" w:rsidRDefault="00F63885" w:rsidP="00F63885">
      <w:pPr>
        <w:rPr>
          <w:rFonts w:eastAsia="Times New Roman" w:cs="Times New Roman"/>
          <w:color w:val="000000" w:themeColor="text1"/>
          <w:sz w:val="15"/>
          <w:szCs w:val="15"/>
        </w:rPr>
      </w:pPr>
      <w:r w:rsidRPr="00E1548E">
        <w:rPr>
          <w:rStyle w:val="FootnoteReference"/>
          <w:color w:val="000000" w:themeColor="text1"/>
        </w:rPr>
        <w:footnoteRef/>
      </w:r>
      <w:r w:rsidRPr="00E1548E">
        <w:rPr>
          <w:rFonts w:eastAsia="Times New Roman" w:cs="Times New Roman"/>
          <w:color w:val="000000" w:themeColor="text1"/>
          <w:sz w:val="15"/>
          <w:szCs w:val="15"/>
        </w:rPr>
        <w:t xml:space="preserve">“NASA POWER | Prediction </w:t>
      </w:r>
      <w:proofErr w:type="gramStart"/>
      <w:r w:rsidRPr="00E1548E">
        <w:rPr>
          <w:rFonts w:eastAsia="Times New Roman" w:cs="Times New Roman"/>
          <w:color w:val="000000" w:themeColor="text1"/>
          <w:sz w:val="15"/>
          <w:szCs w:val="15"/>
        </w:rPr>
        <w:t>Of</w:t>
      </w:r>
      <w:proofErr w:type="gramEnd"/>
      <w:r w:rsidRPr="00E1548E">
        <w:rPr>
          <w:rFonts w:eastAsia="Times New Roman" w:cs="Times New Roman"/>
          <w:color w:val="000000" w:themeColor="text1"/>
          <w:sz w:val="15"/>
          <w:szCs w:val="15"/>
        </w:rPr>
        <w:t xml:space="preserve"> Worldwide Energy Resources.” </w:t>
      </w:r>
      <w:r w:rsidRPr="00E1548E">
        <w:rPr>
          <w:rFonts w:eastAsia="Times New Roman" w:cs="Times New Roman"/>
          <w:i/>
          <w:iCs/>
          <w:color w:val="000000" w:themeColor="text1"/>
          <w:sz w:val="15"/>
          <w:szCs w:val="15"/>
        </w:rPr>
        <w:t>NASA</w:t>
      </w:r>
      <w:r w:rsidRPr="00E1548E">
        <w:rPr>
          <w:rFonts w:eastAsia="Times New Roman" w:cs="Times New Roman"/>
          <w:color w:val="000000" w:themeColor="text1"/>
          <w:sz w:val="15"/>
          <w:szCs w:val="15"/>
        </w:rPr>
        <w:t>, https://power.larc.nasa.gov/. Accessed 21 June 2022.</w:t>
      </w:r>
    </w:p>
    <w:p w14:paraId="2FB9F351" w14:textId="4D1F3037" w:rsidR="00F63885" w:rsidRPr="00E1548E" w:rsidRDefault="00F63885" w:rsidP="00F63885">
      <w:pPr>
        <w:rPr>
          <w:rFonts w:eastAsia="Times New Roman" w:cs="Times New Roman"/>
          <w:color w:val="000000" w:themeColor="text1"/>
          <w:sz w:val="24"/>
        </w:rPr>
      </w:pPr>
      <w:r w:rsidRPr="00E1548E">
        <w:rPr>
          <w:rFonts w:eastAsia="Times New Roman" w:cs="Times New Roman"/>
          <w:color w:val="000000" w:themeColor="text1"/>
          <w:sz w:val="24"/>
        </w:rPr>
        <w:t xml:space="preserve"> </w:t>
      </w:r>
    </w:p>
  </w:footnote>
  <w:footnote w:id="2">
    <w:p w14:paraId="5B6BCA3F" w14:textId="520E553B" w:rsidR="007C421F" w:rsidRPr="00E1548E" w:rsidRDefault="007C421F">
      <w:pPr>
        <w:pStyle w:val="FootnoteText"/>
        <w:rPr>
          <w:color w:val="000000" w:themeColor="text1"/>
        </w:rPr>
      </w:pPr>
      <w:r w:rsidRPr="00E1548E">
        <w:rPr>
          <w:rStyle w:val="FootnoteReference"/>
          <w:color w:val="000000" w:themeColor="text1"/>
        </w:rPr>
        <w:footnoteRef/>
      </w:r>
      <w:r w:rsidRPr="00E1548E">
        <w:rPr>
          <w:color w:val="000000" w:themeColor="text1"/>
        </w:rPr>
        <w:t xml:space="preserve"> </w:t>
      </w:r>
      <w:r w:rsidRPr="00E1548E">
        <w:rPr>
          <w:color w:val="000000" w:themeColor="text1"/>
          <w:sz w:val="15"/>
          <w:szCs w:val="15"/>
        </w:rPr>
        <w:t>NASA POWER | Docs | Methodology - NASA POWER | Docs. https://power.larc.nasa.gov/docs/methodology/. Accessed 21 June 2022.</w:t>
      </w:r>
    </w:p>
  </w:footnote>
  <w:footnote w:id="3">
    <w:p w14:paraId="4CD85537" w14:textId="42B6B00C" w:rsidR="007868ED" w:rsidRDefault="007868ED" w:rsidP="007868ED">
      <w:pPr>
        <w:pStyle w:val="Citations"/>
      </w:pPr>
      <w:r>
        <w:rPr>
          <w:rStyle w:val="FootnoteReference"/>
        </w:rPr>
        <w:footnoteRef/>
      </w:r>
      <w:r>
        <w:t xml:space="preserve"> </w:t>
      </w:r>
      <w:r w:rsidRPr="007868ED">
        <w:t>Wind Speed - NASA POWER | Docs. https://power.larc.nasa.gov/docs/methodology/meteorology/wind/. Accessed 21 June 2022.</w:t>
      </w:r>
    </w:p>
  </w:footnote>
  <w:footnote w:id="4">
    <w:p w14:paraId="54876EE8" w14:textId="4BA279E2" w:rsidR="003C4E2C" w:rsidRDefault="003C4E2C" w:rsidP="003C4E2C">
      <w:pPr>
        <w:pStyle w:val="Citations"/>
      </w:pPr>
      <w:r>
        <w:rPr>
          <w:rStyle w:val="FootnoteReference"/>
        </w:rPr>
        <w:footnoteRef/>
      </w:r>
      <w:r>
        <w:t xml:space="preserve"> </w:t>
      </w:r>
      <w:proofErr w:type="spellStart"/>
      <w:r w:rsidRPr="003C4E2C">
        <w:t>Draxl</w:t>
      </w:r>
      <w:proofErr w:type="spellEnd"/>
      <w:r w:rsidRPr="003C4E2C">
        <w:t>, Caroline, et al. “The Wind Integration National Dataset (WIND) Toolkit.” Applied Energy, vol. 151, Aug. 2015, pp. 355–66. ScienceDirect, https://doi.org/10.1016/j.apenergy.2015.03.121.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09"/>
    <w:rsid w:val="000E2881"/>
    <w:rsid w:val="001B2543"/>
    <w:rsid w:val="003C4E2C"/>
    <w:rsid w:val="003E27DF"/>
    <w:rsid w:val="00410E5A"/>
    <w:rsid w:val="0042667D"/>
    <w:rsid w:val="004C71B9"/>
    <w:rsid w:val="0058021D"/>
    <w:rsid w:val="006040EA"/>
    <w:rsid w:val="0066134F"/>
    <w:rsid w:val="006A287F"/>
    <w:rsid w:val="006B1891"/>
    <w:rsid w:val="007868ED"/>
    <w:rsid w:val="007C421F"/>
    <w:rsid w:val="008956EE"/>
    <w:rsid w:val="00A201DF"/>
    <w:rsid w:val="00A317CA"/>
    <w:rsid w:val="00BB0F5E"/>
    <w:rsid w:val="00C47452"/>
    <w:rsid w:val="00CA2809"/>
    <w:rsid w:val="00DC1554"/>
    <w:rsid w:val="00DD6D88"/>
    <w:rsid w:val="00E023B9"/>
    <w:rsid w:val="00E1548E"/>
    <w:rsid w:val="00F6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ABEB8E"/>
  <w15:chartTrackingRefBased/>
  <w15:docId w15:val="{2B7CF825-E91C-D74F-8196-A39CAA74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E5A"/>
    <w:rPr>
      <w:rFonts w:ascii="Times New Roman" w:hAnsi="Times New Roman"/>
      <w:sz w:val="22"/>
    </w:rPr>
  </w:style>
  <w:style w:type="paragraph" w:styleId="Heading1">
    <w:name w:val="heading 1"/>
    <w:basedOn w:val="Normal"/>
    <w:next w:val="Normal"/>
    <w:link w:val="Heading1Char"/>
    <w:uiPriority w:val="9"/>
    <w:qFormat/>
    <w:rsid w:val="004C71B9"/>
    <w:pPr>
      <w:keepNext/>
      <w:keepLines/>
      <w:spacing w:before="240" w:after="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C71B9"/>
    <w:pPr>
      <w:keepNext/>
      <w:keepLines/>
      <w:spacing w:before="40"/>
      <w:jc w:val="center"/>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CA2809"/>
    <w:pPr>
      <w:keepNext/>
      <w:keepLines/>
      <w:spacing w:before="40"/>
      <w:outlineLvl w:val="2"/>
    </w:pPr>
    <w:rPr>
      <w:rFonts w:eastAsiaTheme="majorEastAsia"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2809"/>
  </w:style>
  <w:style w:type="character" w:customStyle="1" w:styleId="Heading1Char">
    <w:name w:val="Heading 1 Char"/>
    <w:basedOn w:val="DefaultParagraphFont"/>
    <w:link w:val="Heading1"/>
    <w:uiPriority w:val="9"/>
    <w:rsid w:val="004C71B9"/>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4C71B9"/>
    <w:rPr>
      <w:rFonts w:ascii="Times New Roman" w:eastAsiaTheme="majorEastAsia" w:hAnsi="Times New Roman" w:cstheme="majorBidi"/>
      <w:i/>
      <w:color w:val="000000" w:themeColor="text1"/>
      <w:szCs w:val="26"/>
    </w:rPr>
  </w:style>
  <w:style w:type="character" w:customStyle="1" w:styleId="Heading3Char">
    <w:name w:val="Heading 3 Char"/>
    <w:basedOn w:val="DefaultParagraphFont"/>
    <w:link w:val="Heading3"/>
    <w:uiPriority w:val="9"/>
    <w:rsid w:val="00CA2809"/>
    <w:rPr>
      <w:rFonts w:ascii="Times New Roman" w:eastAsiaTheme="majorEastAsia" w:hAnsi="Times New Roman" w:cstheme="majorBidi"/>
      <w:color w:val="000000" w:themeColor="text1"/>
    </w:rPr>
  </w:style>
  <w:style w:type="paragraph" w:styleId="Title">
    <w:name w:val="Title"/>
    <w:basedOn w:val="Normal"/>
    <w:next w:val="Normal"/>
    <w:link w:val="TitleChar"/>
    <w:uiPriority w:val="10"/>
    <w:qFormat/>
    <w:rsid w:val="00CA2809"/>
    <w:pPr>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CA2809"/>
    <w:rPr>
      <w:rFonts w:ascii="Times New Roman" w:eastAsiaTheme="majorEastAsia" w:hAnsi="Times New Roman" w:cstheme="majorBidi"/>
      <w:spacing w:val="-10"/>
      <w:kern w:val="28"/>
      <w:sz w:val="40"/>
      <w:szCs w:val="56"/>
    </w:rPr>
  </w:style>
  <w:style w:type="paragraph" w:styleId="FootnoteText">
    <w:name w:val="footnote text"/>
    <w:basedOn w:val="Normal"/>
    <w:link w:val="FootnoteTextChar"/>
    <w:uiPriority w:val="99"/>
    <w:semiHidden/>
    <w:unhideWhenUsed/>
    <w:rsid w:val="00F63885"/>
    <w:rPr>
      <w:sz w:val="20"/>
      <w:szCs w:val="20"/>
    </w:rPr>
  </w:style>
  <w:style w:type="character" w:customStyle="1" w:styleId="FootnoteTextChar">
    <w:name w:val="Footnote Text Char"/>
    <w:basedOn w:val="DefaultParagraphFont"/>
    <w:link w:val="FootnoteText"/>
    <w:uiPriority w:val="99"/>
    <w:semiHidden/>
    <w:rsid w:val="00F63885"/>
    <w:rPr>
      <w:rFonts w:ascii="Times New Roman" w:hAnsi="Times New Roman"/>
      <w:sz w:val="20"/>
      <w:szCs w:val="20"/>
    </w:rPr>
  </w:style>
  <w:style w:type="character" w:styleId="FootnoteReference">
    <w:name w:val="footnote reference"/>
    <w:basedOn w:val="DefaultParagraphFont"/>
    <w:uiPriority w:val="99"/>
    <w:semiHidden/>
    <w:unhideWhenUsed/>
    <w:rsid w:val="00F63885"/>
    <w:rPr>
      <w:vertAlign w:val="superscript"/>
    </w:rPr>
  </w:style>
  <w:style w:type="character" w:styleId="Hyperlink">
    <w:name w:val="Hyperlink"/>
    <w:basedOn w:val="DefaultParagraphFont"/>
    <w:uiPriority w:val="99"/>
    <w:unhideWhenUsed/>
    <w:rsid w:val="00F63885"/>
    <w:rPr>
      <w:color w:val="0000FF"/>
      <w:u w:val="single"/>
    </w:rPr>
  </w:style>
  <w:style w:type="paragraph" w:customStyle="1" w:styleId="Citations">
    <w:name w:val="Citations"/>
    <w:basedOn w:val="FootnoteText"/>
    <w:qFormat/>
    <w:rsid w:val="00E1548E"/>
    <w:rPr>
      <w:sz w:val="15"/>
      <w:szCs w:val="15"/>
    </w:rPr>
  </w:style>
  <w:style w:type="character" w:styleId="UnresolvedMention">
    <w:name w:val="Unresolved Mention"/>
    <w:basedOn w:val="DefaultParagraphFont"/>
    <w:uiPriority w:val="99"/>
    <w:semiHidden/>
    <w:unhideWhenUsed/>
    <w:rsid w:val="007868ED"/>
    <w:rPr>
      <w:color w:val="605E5C"/>
      <w:shd w:val="clear" w:color="auto" w:fill="E1DFDD"/>
    </w:rPr>
  </w:style>
  <w:style w:type="character" w:styleId="Emphasis">
    <w:name w:val="Emphasis"/>
    <w:basedOn w:val="DefaultParagraphFont"/>
    <w:uiPriority w:val="20"/>
    <w:qFormat/>
    <w:rsid w:val="0066134F"/>
    <w:rPr>
      <w:i/>
      <w:iCs/>
    </w:rPr>
  </w:style>
  <w:style w:type="character" w:styleId="PlaceholderText">
    <w:name w:val="Placeholder Text"/>
    <w:basedOn w:val="DefaultParagraphFont"/>
    <w:uiPriority w:val="99"/>
    <w:semiHidden/>
    <w:rsid w:val="0066134F"/>
    <w:rPr>
      <w:color w:val="808080"/>
    </w:rPr>
  </w:style>
  <w:style w:type="paragraph" w:styleId="Header">
    <w:name w:val="header"/>
    <w:basedOn w:val="Normal"/>
    <w:link w:val="HeaderChar"/>
    <w:uiPriority w:val="99"/>
    <w:unhideWhenUsed/>
    <w:rsid w:val="00E023B9"/>
    <w:pPr>
      <w:tabs>
        <w:tab w:val="center" w:pos="4680"/>
        <w:tab w:val="right" w:pos="9360"/>
      </w:tabs>
    </w:pPr>
  </w:style>
  <w:style w:type="character" w:customStyle="1" w:styleId="HeaderChar">
    <w:name w:val="Header Char"/>
    <w:basedOn w:val="DefaultParagraphFont"/>
    <w:link w:val="Header"/>
    <w:uiPriority w:val="99"/>
    <w:rsid w:val="00E023B9"/>
    <w:rPr>
      <w:rFonts w:ascii="Times New Roman" w:hAnsi="Times New Roman"/>
      <w:sz w:val="22"/>
    </w:rPr>
  </w:style>
  <w:style w:type="paragraph" w:styleId="Footer">
    <w:name w:val="footer"/>
    <w:basedOn w:val="Normal"/>
    <w:link w:val="FooterChar"/>
    <w:uiPriority w:val="99"/>
    <w:unhideWhenUsed/>
    <w:rsid w:val="00E023B9"/>
    <w:pPr>
      <w:tabs>
        <w:tab w:val="center" w:pos="4680"/>
        <w:tab w:val="right" w:pos="9360"/>
      </w:tabs>
    </w:pPr>
  </w:style>
  <w:style w:type="character" w:customStyle="1" w:styleId="FooterChar">
    <w:name w:val="Footer Char"/>
    <w:basedOn w:val="DefaultParagraphFont"/>
    <w:link w:val="Footer"/>
    <w:uiPriority w:val="99"/>
    <w:rsid w:val="00E023B9"/>
    <w:rPr>
      <w:rFonts w:ascii="Times New Roman" w:hAnsi="Times New Roman"/>
      <w:sz w:val="22"/>
    </w:rPr>
  </w:style>
  <w:style w:type="paragraph" w:styleId="Subtitle">
    <w:name w:val="Subtitle"/>
    <w:basedOn w:val="Normal"/>
    <w:next w:val="Normal"/>
    <w:link w:val="SubtitleChar"/>
    <w:uiPriority w:val="11"/>
    <w:qFormat/>
    <w:rsid w:val="00E023B9"/>
    <w:pPr>
      <w:numPr>
        <w:ilvl w:val="1"/>
      </w:numPr>
      <w:spacing w:after="160"/>
    </w:pPr>
    <w:rPr>
      <w:rFonts w:asciiTheme="minorHAnsi" w:eastAsiaTheme="minorEastAsia" w:hAnsiTheme="minorHAnsi"/>
      <w:color w:val="5A5A5A" w:themeColor="text1" w:themeTint="A5"/>
      <w:spacing w:val="15"/>
      <w:szCs w:val="22"/>
    </w:rPr>
  </w:style>
  <w:style w:type="character" w:customStyle="1" w:styleId="SubtitleChar">
    <w:name w:val="Subtitle Char"/>
    <w:basedOn w:val="DefaultParagraphFont"/>
    <w:link w:val="Subtitle"/>
    <w:uiPriority w:val="11"/>
    <w:rsid w:val="00E023B9"/>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4133">
      <w:bodyDiv w:val="1"/>
      <w:marLeft w:val="0"/>
      <w:marRight w:val="0"/>
      <w:marTop w:val="0"/>
      <w:marBottom w:val="0"/>
      <w:divBdr>
        <w:top w:val="none" w:sz="0" w:space="0" w:color="auto"/>
        <w:left w:val="none" w:sz="0" w:space="0" w:color="auto"/>
        <w:bottom w:val="none" w:sz="0" w:space="0" w:color="auto"/>
        <w:right w:val="none" w:sz="0" w:space="0" w:color="auto"/>
      </w:divBdr>
      <w:divsChild>
        <w:div w:id="1795129173">
          <w:marLeft w:val="480"/>
          <w:marRight w:val="0"/>
          <w:marTop w:val="0"/>
          <w:marBottom w:val="0"/>
          <w:divBdr>
            <w:top w:val="none" w:sz="0" w:space="0" w:color="auto"/>
            <w:left w:val="none" w:sz="0" w:space="0" w:color="auto"/>
            <w:bottom w:val="none" w:sz="0" w:space="0" w:color="auto"/>
            <w:right w:val="none" w:sz="0" w:space="0" w:color="auto"/>
          </w:divBdr>
          <w:divsChild>
            <w:div w:id="17749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0582">
      <w:bodyDiv w:val="1"/>
      <w:marLeft w:val="0"/>
      <w:marRight w:val="0"/>
      <w:marTop w:val="0"/>
      <w:marBottom w:val="0"/>
      <w:divBdr>
        <w:top w:val="none" w:sz="0" w:space="0" w:color="auto"/>
        <w:left w:val="none" w:sz="0" w:space="0" w:color="auto"/>
        <w:bottom w:val="none" w:sz="0" w:space="0" w:color="auto"/>
        <w:right w:val="none" w:sz="0" w:space="0" w:color="auto"/>
      </w:divBdr>
    </w:div>
    <w:div w:id="578756332">
      <w:bodyDiv w:val="1"/>
      <w:marLeft w:val="0"/>
      <w:marRight w:val="0"/>
      <w:marTop w:val="0"/>
      <w:marBottom w:val="0"/>
      <w:divBdr>
        <w:top w:val="none" w:sz="0" w:space="0" w:color="auto"/>
        <w:left w:val="none" w:sz="0" w:space="0" w:color="auto"/>
        <w:bottom w:val="none" w:sz="0" w:space="0" w:color="auto"/>
        <w:right w:val="none" w:sz="0" w:space="0" w:color="auto"/>
      </w:divBdr>
      <w:divsChild>
        <w:div w:id="839655564">
          <w:marLeft w:val="480"/>
          <w:marRight w:val="0"/>
          <w:marTop w:val="0"/>
          <w:marBottom w:val="0"/>
          <w:divBdr>
            <w:top w:val="none" w:sz="0" w:space="0" w:color="auto"/>
            <w:left w:val="none" w:sz="0" w:space="0" w:color="auto"/>
            <w:bottom w:val="none" w:sz="0" w:space="0" w:color="auto"/>
            <w:right w:val="none" w:sz="0" w:space="0" w:color="auto"/>
          </w:divBdr>
          <w:divsChild>
            <w:div w:id="18956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5270">
      <w:bodyDiv w:val="1"/>
      <w:marLeft w:val="0"/>
      <w:marRight w:val="0"/>
      <w:marTop w:val="0"/>
      <w:marBottom w:val="0"/>
      <w:divBdr>
        <w:top w:val="none" w:sz="0" w:space="0" w:color="auto"/>
        <w:left w:val="none" w:sz="0" w:space="0" w:color="auto"/>
        <w:bottom w:val="none" w:sz="0" w:space="0" w:color="auto"/>
        <w:right w:val="none" w:sz="0" w:space="0" w:color="auto"/>
      </w:divBdr>
    </w:div>
    <w:div w:id="874080689">
      <w:bodyDiv w:val="1"/>
      <w:marLeft w:val="0"/>
      <w:marRight w:val="0"/>
      <w:marTop w:val="0"/>
      <w:marBottom w:val="0"/>
      <w:divBdr>
        <w:top w:val="none" w:sz="0" w:space="0" w:color="auto"/>
        <w:left w:val="none" w:sz="0" w:space="0" w:color="auto"/>
        <w:bottom w:val="none" w:sz="0" w:space="0" w:color="auto"/>
        <w:right w:val="none" w:sz="0" w:space="0" w:color="auto"/>
      </w:divBdr>
    </w:div>
    <w:div w:id="1087577427">
      <w:bodyDiv w:val="1"/>
      <w:marLeft w:val="0"/>
      <w:marRight w:val="0"/>
      <w:marTop w:val="0"/>
      <w:marBottom w:val="0"/>
      <w:divBdr>
        <w:top w:val="none" w:sz="0" w:space="0" w:color="auto"/>
        <w:left w:val="none" w:sz="0" w:space="0" w:color="auto"/>
        <w:bottom w:val="none" w:sz="0" w:space="0" w:color="auto"/>
        <w:right w:val="none" w:sz="0" w:space="0" w:color="auto"/>
      </w:divBdr>
      <w:divsChild>
        <w:div w:id="479346043">
          <w:marLeft w:val="480"/>
          <w:marRight w:val="0"/>
          <w:marTop w:val="0"/>
          <w:marBottom w:val="0"/>
          <w:divBdr>
            <w:top w:val="none" w:sz="0" w:space="0" w:color="auto"/>
            <w:left w:val="none" w:sz="0" w:space="0" w:color="auto"/>
            <w:bottom w:val="none" w:sz="0" w:space="0" w:color="auto"/>
            <w:right w:val="none" w:sz="0" w:space="0" w:color="auto"/>
          </w:divBdr>
          <w:divsChild>
            <w:div w:id="1369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37424">
      <w:bodyDiv w:val="1"/>
      <w:marLeft w:val="0"/>
      <w:marRight w:val="0"/>
      <w:marTop w:val="0"/>
      <w:marBottom w:val="0"/>
      <w:divBdr>
        <w:top w:val="none" w:sz="0" w:space="0" w:color="auto"/>
        <w:left w:val="none" w:sz="0" w:space="0" w:color="auto"/>
        <w:bottom w:val="none" w:sz="0" w:space="0" w:color="auto"/>
        <w:right w:val="none" w:sz="0" w:space="0" w:color="auto"/>
      </w:divBdr>
    </w:div>
    <w:div w:id="2033797527">
      <w:bodyDiv w:val="1"/>
      <w:marLeft w:val="0"/>
      <w:marRight w:val="0"/>
      <w:marTop w:val="0"/>
      <w:marBottom w:val="0"/>
      <w:divBdr>
        <w:top w:val="none" w:sz="0" w:space="0" w:color="auto"/>
        <w:left w:val="none" w:sz="0" w:space="0" w:color="auto"/>
        <w:bottom w:val="none" w:sz="0" w:space="0" w:color="auto"/>
        <w:right w:val="none" w:sz="0" w:space="0" w:color="auto"/>
      </w:divBdr>
    </w:div>
    <w:div w:id="2063165716">
      <w:bodyDiv w:val="1"/>
      <w:marLeft w:val="0"/>
      <w:marRight w:val="0"/>
      <w:marTop w:val="0"/>
      <w:marBottom w:val="0"/>
      <w:divBdr>
        <w:top w:val="none" w:sz="0" w:space="0" w:color="auto"/>
        <w:left w:val="none" w:sz="0" w:space="0" w:color="auto"/>
        <w:bottom w:val="none" w:sz="0" w:space="0" w:color="auto"/>
        <w:right w:val="none" w:sz="0" w:space="0" w:color="auto"/>
      </w:divBdr>
      <w:divsChild>
        <w:div w:id="1752965239">
          <w:marLeft w:val="480"/>
          <w:marRight w:val="0"/>
          <w:marTop w:val="0"/>
          <w:marBottom w:val="0"/>
          <w:divBdr>
            <w:top w:val="none" w:sz="0" w:space="0" w:color="auto"/>
            <w:left w:val="none" w:sz="0" w:space="0" w:color="auto"/>
            <w:bottom w:val="none" w:sz="0" w:space="0" w:color="auto"/>
            <w:right w:val="none" w:sz="0" w:space="0" w:color="auto"/>
          </w:divBdr>
          <w:divsChild>
            <w:div w:id="12910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Casey</dc:creator>
  <cp:keywords/>
  <dc:description/>
  <cp:lastModifiedBy>Filip Casey</cp:lastModifiedBy>
  <cp:revision>1</cp:revision>
  <dcterms:created xsi:type="dcterms:W3CDTF">2022-06-21T19:21:00Z</dcterms:created>
  <dcterms:modified xsi:type="dcterms:W3CDTF">2022-06-21T22:18:00Z</dcterms:modified>
</cp:coreProperties>
</file>