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0A429" w14:textId="554951A3" w:rsidR="00F000B8" w:rsidRPr="00C008FE" w:rsidRDefault="00C008FE" w:rsidP="00C008FE">
      <w:pPr>
        <w:jc w:val="center"/>
        <w:rPr>
          <w:b/>
          <w:bCs/>
          <w:sz w:val="32"/>
          <w:szCs w:val="32"/>
        </w:rPr>
      </w:pPr>
      <w:r w:rsidRPr="00C008FE">
        <w:rPr>
          <w:b/>
          <w:bCs/>
          <w:sz w:val="32"/>
          <w:szCs w:val="32"/>
        </w:rPr>
        <w:t>RELAZIONE DELLA PRIMA PROVA DEL PROGETTO DI LABORATORIO DI BUSINESS INTELLIGENCE PER I SERVIZI FINANZIARI</w:t>
      </w:r>
    </w:p>
    <w:p w14:paraId="0A6F617F" w14:textId="77777777" w:rsidR="00C008FE" w:rsidRDefault="00C008FE"/>
    <w:p w14:paraId="6B49F7A9" w14:textId="1E3DDFD7" w:rsidR="009E3F8D" w:rsidRPr="003D73A7" w:rsidRDefault="00FB55BF" w:rsidP="00FB55BF">
      <w:pPr>
        <w:rPr>
          <w:u w:val="single"/>
        </w:rPr>
      </w:pPr>
      <w:r>
        <w:rPr>
          <w:u w:val="single"/>
        </w:rPr>
        <w:t>1.</w:t>
      </w:r>
      <w:r w:rsidR="00C008FE" w:rsidRPr="00FB55BF">
        <w:rPr>
          <w:u w:val="single"/>
        </w:rPr>
        <w:t>SOMMARIO DEI DATI UTILIZZATI</w:t>
      </w:r>
    </w:p>
    <w:p w14:paraId="063454A0" w14:textId="3E2C43FA" w:rsidR="00FB55BF" w:rsidRPr="00FB55BF" w:rsidRDefault="00FB55BF" w:rsidP="00FB55BF">
      <w:pPr>
        <w:pStyle w:val="Paragrafoelenco"/>
        <w:numPr>
          <w:ilvl w:val="0"/>
          <w:numId w:val="5"/>
        </w:numPr>
        <w:rPr>
          <w:i/>
          <w:iCs/>
        </w:rPr>
      </w:pPr>
      <w:r w:rsidRPr="00FB55BF">
        <w:rPr>
          <w:i/>
          <w:iCs/>
        </w:rPr>
        <w:t>Breve descrizione di ciascun ETF selezionato e motivazione della scelta</w:t>
      </w:r>
    </w:p>
    <w:p w14:paraId="78BC56D7" w14:textId="61D43E7D" w:rsidR="00C008FE" w:rsidRDefault="00C008FE">
      <w:r>
        <w:t>Per lo svolgimento del progetto sono stati selezionati 6 ETF settoriali</w:t>
      </w:r>
      <w:r w:rsidR="00FC3D7A">
        <w:t xml:space="preserve">, che coprano i pilastri dell’economia statunitense, </w:t>
      </w:r>
      <w:r>
        <w:t>dall’indice S&amp;P500, in particolare:</w:t>
      </w:r>
    </w:p>
    <w:p w14:paraId="689CE489" w14:textId="652A4E9C" w:rsidR="00C008FE" w:rsidRDefault="00C008FE" w:rsidP="00C008FE">
      <w:pPr>
        <w:pStyle w:val="Paragrafoelenco"/>
        <w:numPr>
          <w:ilvl w:val="0"/>
          <w:numId w:val="1"/>
        </w:numPr>
      </w:pPr>
      <w:r>
        <w:t>State Street Financial Select Sector SPDR ETF (XLF)</w:t>
      </w:r>
    </w:p>
    <w:p w14:paraId="4A90F20C" w14:textId="0E857904" w:rsidR="00C008FE" w:rsidRDefault="00C008FE" w:rsidP="00C008FE">
      <w:pPr>
        <w:pStyle w:val="Paragrafoelenco"/>
        <w:numPr>
          <w:ilvl w:val="0"/>
          <w:numId w:val="1"/>
        </w:numPr>
      </w:pPr>
      <w:r>
        <w:t>State Street Technology Select Sector SPDR ETF (XLK)</w:t>
      </w:r>
    </w:p>
    <w:p w14:paraId="35A2A2A2" w14:textId="606D3A5B" w:rsidR="00C008FE" w:rsidRDefault="00C008FE" w:rsidP="00C008FE">
      <w:pPr>
        <w:pStyle w:val="Paragrafoelenco"/>
        <w:numPr>
          <w:ilvl w:val="0"/>
          <w:numId w:val="1"/>
        </w:numPr>
      </w:pPr>
      <w:r>
        <w:t>State Street Health Care Select Sector SPDR ETF (XLV)</w:t>
      </w:r>
    </w:p>
    <w:p w14:paraId="3B45E663" w14:textId="4146DE15" w:rsidR="00C008FE" w:rsidRDefault="00C008FE" w:rsidP="00C008FE">
      <w:pPr>
        <w:pStyle w:val="Paragrafoelenco"/>
        <w:numPr>
          <w:ilvl w:val="0"/>
          <w:numId w:val="1"/>
        </w:numPr>
      </w:pPr>
      <w:r>
        <w:t>State Street Energy Select Sector SPDR ETF (XLE)</w:t>
      </w:r>
    </w:p>
    <w:p w14:paraId="03A42D06" w14:textId="39BCF9CD" w:rsidR="00C008FE" w:rsidRDefault="00C008FE" w:rsidP="00C008FE">
      <w:pPr>
        <w:pStyle w:val="Paragrafoelenco"/>
        <w:numPr>
          <w:ilvl w:val="0"/>
          <w:numId w:val="1"/>
        </w:numPr>
      </w:pPr>
      <w:r>
        <w:t>State Street Industrial Select Sector SPDR ETF (XLI)</w:t>
      </w:r>
    </w:p>
    <w:p w14:paraId="4C5FF67A" w14:textId="063DBE5A" w:rsidR="00C008FE" w:rsidRDefault="00C008FE" w:rsidP="00C008FE">
      <w:pPr>
        <w:pStyle w:val="Paragrafoelenco"/>
        <w:numPr>
          <w:ilvl w:val="0"/>
          <w:numId w:val="1"/>
        </w:numPr>
      </w:pPr>
      <w:r>
        <w:t>State Street Consumer Discretionary Select Sector SPDR ETF (XLY)</w:t>
      </w:r>
    </w:p>
    <w:p w14:paraId="3B0F071F" w14:textId="591AFE60" w:rsidR="00C008FE" w:rsidRDefault="00FC3D7A" w:rsidP="00C008FE">
      <w:r>
        <w:t xml:space="preserve">XLF comprende banche, assicurazioni e società di gestione patrimoniale; è il settore </w:t>
      </w:r>
      <w:r w:rsidRPr="00FC3D7A">
        <w:t>più sensibile alle politiche della Federal Reserve. È stato scelto per osservare l'impatto del rialzo dei tassi d'interesse post-2022 e la resilienza del sistema finanziario durante le crisi di liquidità</w:t>
      </w:r>
      <w:r>
        <w:t>.</w:t>
      </w:r>
    </w:p>
    <w:p w14:paraId="675E591D" w14:textId="1F3F29A1" w:rsidR="00FC3D7A" w:rsidRDefault="00FC3D7A" w:rsidP="00C008FE">
      <w:r>
        <w:t>XLK include società informatiche, del software e dei semiconduttori; è</w:t>
      </w:r>
      <w:r w:rsidRPr="00FC3D7A">
        <w:t xml:space="preserve"> il motore della crescita dell'ultimo decennio. La scelta è guidata dalla tendenza della trasformazione digitale e, più recentemente, dall'esplosione dell'Intelligenza Artificiale. È </w:t>
      </w:r>
      <w:r w:rsidR="00FB55BF">
        <w:t xml:space="preserve">noto per essere </w:t>
      </w:r>
      <w:r w:rsidRPr="00FC3D7A">
        <w:t>il settore con i rendimenti più alti ma sensibile ai tassi di interesse.</w:t>
      </w:r>
    </w:p>
    <w:p w14:paraId="19D96AA4" w14:textId="172D7305" w:rsidR="00FC3D7A" w:rsidRDefault="00FC3D7A" w:rsidP="00C008FE">
      <w:r>
        <w:t xml:space="preserve">XLV include aziende farmaceutiche, biotecnologiche e di servizi sanitari; </w:t>
      </w:r>
      <w:r w:rsidR="00FB55BF">
        <w:t xml:space="preserve">scelto per essere </w:t>
      </w:r>
      <w:r w:rsidRPr="00FC3D7A">
        <w:t>il settore difensivo per eccellenza</w:t>
      </w:r>
      <w:r w:rsidR="00FB55BF">
        <w:t xml:space="preserve"> del portfolio</w:t>
      </w:r>
      <w:r w:rsidRPr="00FC3D7A">
        <w:t>. La scelta è legata all'invecchiamento demografico e alla rilevanza globale assunta durante la pandemia di COVID-19, mostrando una volatilità solitamente inferiore alla media.</w:t>
      </w:r>
    </w:p>
    <w:p w14:paraId="2E5C1130" w14:textId="340A0F04" w:rsidR="00FC3D7A" w:rsidRDefault="00FC3D7A" w:rsidP="00C008FE">
      <w:r>
        <w:t>XLE si focalizza su petrolio, gas naturale e servizi energetici; è f</w:t>
      </w:r>
      <w:r w:rsidRPr="00FC3D7A">
        <w:t>ondamentale per studiare le dinamiche</w:t>
      </w:r>
      <w:r w:rsidRPr="00FC3D7A">
        <w:rPr>
          <w:b/>
          <w:bCs/>
        </w:rPr>
        <w:t xml:space="preserve"> </w:t>
      </w:r>
      <w:r w:rsidRPr="00FC3D7A">
        <w:t>geopolitiche. È stato incluso per analizzare l'impatto dell</w:t>
      </w:r>
      <w:r>
        <w:t>e</w:t>
      </w:r>
      <w:r w:rsidRPr="00FC3D7A">
        <w:t xml:space="preserve"> guerr</w:t>
      </w:r>
      <w:r>
        <w:t>e</w:t>
      </w:r>
      <w:r w:rsidRPr="00FC3D7A">
        <w:t xml:space="preserve"> in Ucraina e</w:t>
      </w:r>
      <w:r>
        <w:t>d in Iran e</w:t>
      </w:r>
      <w:r w:rsidRPr="00FC3D7A">
        <w:t xml:space="preserve"> la transizione energetica. </w:t>
      </w:r>
      <w:r>
        <w:t>La letteratura lo indentifica</w:t>
      </w:r>
      <w:r w:rsidRPr="00FC3D7A">
        <w:t xml:space="preserve"> spesso</w:t>
      </w:r>
      <w:r w:rsidR="00FB55BF">
        <w:t xml:space="preserve"> come</w:t>
      </w:r>
      <w:r w:rsidRPr="00FC3D7A">
        <w:t xml:space="preserve"> il settore meno correlato agli altri, agendo da diversificatore.</w:t>
      </w:r>
    </w:p>
    <w:p w14:paraId="7011C92B" w14:textId="7CB750FA" w:rsidR="00FC3D7A" w:rsidRDefault="00FC3D7A" w:rsidP="00C008FE">
      <w:r>
        <w:t xml:space="preserve">XLI copre aziende manifatturiere, aerospaziali e di trasporti; è </w:t>
      </w:r>
      <w:r w:rsidRPr="00FC3D7A">
        <w:t>il termometro dell'economia reale e del PIL. Riflette le interruzioni della supply chain globale e i piani di stimolo infrastrutturale governativi.</w:t>
      </w:r>
    </w:p>
    <w:p w14:paraId="6BC00649" w14:textId="2D3DD015" w:rsidR="00FC3D7A" w:rsidRDefault="00FC3D7A" w:rsidP="00C008FE">
      <w:r>
        <w:t xml:space="preserve">XLY </w:t>
      </w:r>
      <w:r w:rsidR="00FB55BF">
        <w:t>concerne beni di consumo non essenziali, come e-commerce, automobili e lusso; r</w:t>
      </w:r>
      <w:r w:rsidR="00FB55BF" w:rsidRPr="00FB55BF">
        <w:t>iflette la fiducia dei consumatori e il potere d'acquisto. È un settore ciclico scelto per osservare come l'inflazione e il costo della vita influenzino i consumi delle famiglie.</w:t>
      </w:r>
    </w:p>
    <w:p w14:paraId="04332398" w14:textId="4553CC14" w:rsidR="00FB55BF" w:rsidRPr="00FB55BF" w:rsidRDefault="00FB55BF" w:rsidP="00FB55BF">
      <w:r>
        <w:t>In definitiva, l</w:t>
      </w:r>
      <w:r w:rsidRPr="00FB55BF">
        <w:t xml:space="preserve">a selezione di questi </w:t>
      </w:r>
      <w:r w:rsidR="000B1DBB" w:rsidRPr="00FB55BF">
        <w:t>sei</w:t>
      </w:r>
      <w:r w:rsidRPr="00FB55BF">
        <w:t xml:space="preserve"> ETF non è casuale, ma mira a rappresentare un portafoglio</w:t>
      </w:r>
      <w:r w:rsidRPr="00FB55BF">
        <w:rPr>
          <w:b/>
          <w:bCs/>
        </w:rPr>
        <w:t xml:space="preserve"> </w:t>
      </w:r>
      <w:r w:rsidRPr="00FB55BF">
        <w:t xml:space="preserve">diversificato composto da settori </w:t>
      </w:r>
      <w:r>
        <w:t>g</w:t>
      </w:r>
      <w:r w:rsidRPr="00FB55BF">
        <w:t xml:space="preserve">rowth (XLK, XLY), settori </w:t>
      </w:r>
      <w:r>
        <w:t>v</w:t>
      </w:r>
      <w:r w:rsidRPr="00FB55BF">
        <w:t xml:space="preserve">alue (XLF, XLI) e settori </w:t>
      </w:r>
      <w:r>
        <w:t>d</w:t>
      </w:r>
      <w:r w:rsidRPr="00FB55BF">
        <w:t>ifensivi (XLV), con l'aggiunta di un settore legato alle commodity (XLE). Questa composizione permette di analizzare come shock esogeni (pandemia, guerre, inflazione) colpiscono in modo asimmetrico comparti diversi dell'economia, permettendo di testare l'efficacia della diversificazione settoriale.</w:t>
      </w:r>
    </w:p>
    <w:p w14:paraId="68D6DC55" w14:textId="77777777" w:rsidR="00FB55BF" w:rsidRPr="00FB55BF" w:rsidRDefault="00FB55BF" w:rsidP="00FB55BF">
      <w:pPr>
        <w:rPr>
          <w:i/>
          <w:iCs/>
        </w:rPr>
      </w:pPr>
    </w:p>
    <w:p w14:paraId="74DDC128" w14:textId="77777777" w:rsidR="003D73A7" w:rsidRPr="003D73A7" w:rsidRDefault="003D73A7" w:rsidP="003D73A7">
      <w:pPr>
        <w:rPr>
          <w:i/>
          <w:iCs/>
        </w:rPr>
      </w:pPr>
    </w:p>
    <w:p w14:paraId="587446E1" w14:textId="46C0FE04" w:rsidR="00FB55BF" w:rsidRPr="00FB55BF" w:rsidRDefault="00FB55BF" w:rsidP="00FB55BF">
      <w:pPr>
        <w:pStyle w:val="Paragrafoelenco"/>
        <w:numPr>
          <w:ilvl w:val="0"/>
          <w:numId w:val="5"/>
        </w:numPr>
        <w:rPr>
          <w:i/>
          <w:iCs/>
        </w:rPr>
      </w:pPr>
      <w:r w:rsidRPr="00FB55BF">
        <w:rPr>
          <w:i/>
          <w:iCs/>
        </w:rPr>
        <w:lastRenderedPageBreak/>
        <w:t>Funzioni utilizzate per scaricare i dati da Yahoo! Finance o da altri siti</w:t>
      </w:r>
    </w:p>
    <w:p w14:paraId="454A488F" w14:textId="3543BF2B" w:rsidR="00FB55BF" w:rsidRDefault="00FB55BF" w:rsidP="00FB55BF">
      <w:r w:rsidRPr="00FB55BF">
        <w:t xml:space="preserve">Per l'acquisizione delle serie storiche è stata utilizzata la libreria </w:t>
      </w:r>
      <w:r w:rsidRPr="00227C80">
        <w:t>yfinance</w:t>
      </w:r>
      <w:r w:rsidRPr="00FB55BF">
        <w:t>, un'interfaccia Python open-source che sfrutta le API pubbliche di Yahoo! Finance</w:t>
      </w:r>
      <w:r w:rsidR="00227C80">
        <w:t>, in particolare la funzione yf.download().</w:t>
      </w:r>
      <w:r w:rsidRPr="00FB55BF">
        <w:t xml:space="preserve"> Questa scelta è motivata dalla velocità di accesso ai dati rettificati</w:t>
      </w:r>
      <w:r w:rsidR="009E3F8D">
        <w:t xml:space="preserve"> (parametro auto_adjust=True della funzione yf.download)</w:t>
      </w:r>
      <w:r w:rsidRPr="00FB55BF">
        <w:t>, fondamentali per un'analisi che tenga conto di dividendi e frazionamenti azionari</w:t>
      </w:r>
      <w:r w:rsidR="00227C80">
        <w:t>.</w:t>
      </w:r>
      <w:r w:rsidRPr="00FB55BF">
        <w:t xml:space="preserve"> </w:t>
      </w:r>
    </w:p>
    <w:p w14:paraId="1B91F2BF" w14:textId="44247286" w:rsidR="00FB55BF" w:rsidRDefault="00FB55BF" w:rsidP="00FB55BF">
      <w:r w:rsidRPr="00FB55BF">
        <w:t>L'utilizzo di yfinance integrato con l'ecosistema pandas e numpy ha permesso di automatizzare la pipeline di acquisizione, garantendo che l'intera analisi sia riproducibile. Questo approccio 'programmatico' elimina gli errori umani tipici dello scaricamento manuale di file CSV e permette di aggiornare l'analisi in tempo reale semplicemente modificando le date di input.</w:t>
      </w:r>
    </w:p>
    <w:p w14:paraId="21E89CC1" w14:textId="77777777" w:rsidR="00227C80" w:rsidRDefault="00227C80" w:rsidP="00FB55BF"/>
    <w:p w14:paraId="6576F3DA" w14:textId="2311880C" w:rsidR="00227C80" w:rsidRDefault="00227C80" w:rsidP="00227C80">
      <w:pPr>
        <w:pStyle w:val="Paragrafoelenco"/>
        <w:numPr>
          <w:ilvl w:val="0"/>
          <w:numId w:val="5"/>
        </w:numPr>
        <w:rPr>
          <w:i/>
          <w:iCs/>
        </w:rPr>
      </w:pPr>
      <w:r w:rsidRPr="00227C80">
        <w:rPr>
          <w:i/>
          <w:iCs/>
        </w:rPr>
        <w:t>Funzioni utilizzate per la fusione delle serie in un unico DataFrame</w:t>
      </w:r>
    </w:p>
    <w:p w14:paraId="6235F8DD" w14:textId="12C2656B" w:rsidR="00227C80" w:rsidRDefault="00227C80" w:rsidP="00227C80">
      <w:r w:rsidRPr="00227C80">
        <w:t>Sebbene le serie storiche dei sei ETF e dell'indice di mercato provengano dalla stessa fonte, la loro integrazione in un unico oggetto di analisi richiede procedure specifiche per garantire la coerenza dei dati (allineamento delle date e gestione dei valori mancanti).</w:t>
      </w:r>
    </w:p>
    <w:p w14:paraId="55785CEA" w14:textId="462D600D" w:rsidR="00227C80" w:rsidRDefault="00227C80" w:rsidP="00227C80">
      <w:r>
        <w:t>L</w:t>
      </w:r>
      <w:r w:rsidRPr="00227C80">
        <w:t xml:space="preserve">a funzione yf.download agisce internamente come un'operazione di </w:t>
      </w:r>
      <w:r>
        <w:t>o</w:t>
      </w:r>
      <w:r w:rsidRPr="00227C80">
        <w:t>uter</w:t>
      </w:r>
      <w:r w:rsidRPr="00227C80">
        <w:rPr>
          <w:b/>
          <w:bCs/>
        </w:rPr>
        <w:t xml:space="preserve"> </w:t>
      </w:r>
      <w:r>
        <w:t>j</w:t>
      </w:r>
      <w:r w:rsidRPr="00227C80">
        <w:t>oin sui calendari di borsa di ciascun titolo.</w:t>
      </w:r>
      <w:r>
        <w:t xml:space="preserve"> </w:t>
      </w:r>
      <w:r w:rsidRPr="00227C80">
        <w:t>La funzione crea un unico indice che include tutte le date in cui almeno uno dei titoli è stato scambiato. Se un titolo non ha dati per una specifica data, Pandas inserisce un valore NaN</w:t>
      </w:r>
      <w:r>
        <w:t>.</w:t>
      </w:r>
    </w:p>
    <w:p w14:paraId="5B6A808F" w14:textId="77777777" w:rsidR="000B1DBB" w:rsidRPr="00227C80" w:rsidRDefault="000B1DBB" w:rsidP="00227C80"/>
    <w:p w14:paraId="373E25FA" w14:textId="4E1DC6F5" w:rsidR="00227C80" w:rsidRPr="009E3F8D" w:rsidRDefault="009E3F8D" w:rsidP="00227C80">
      <w:pPr>
        <w:pStyle w:val="Paragrafoelenco"/>
        <w:numPr>
          <w:ilvl w:val="0"/>
          <w:numId w:val="5"/>
        </w:numPr>
        <w:rPr>
          <w:i/>
          <w:iCs/>
        </w:rPr>
      </w:pPr>
      <w:r w:rsidRPr="009E3F8D">
        <w:rPr>
          <w:i/>
          <w:iCs/>
        </w:rPr>
        <w:t>Presentazione dei dati con un grafico e le prime righe del DataFrame</w:t>
      </w:r>
    </w:p>
    <w:p w14:paraId="4CA36D85" w14:textId="0B5A66E2" w:rsidR="00227C80" w:rsidRDefault="0084015A" w:rsidP="00227C80">
      <w:r>
        <w:t xml:space="preserve">Prime sei righe dei singoli DataFrame per ETF </w:t>
      </w:r>
      <w:r w:rsidR="00590267">
        <w:t>(N.B.</w:t>
      </w:r>
      <w:r w:rsidR="007F57EA">
        <w:t xml:space="preserve"> </w:t>
      </w:r>
      <w:r>
        <w:t>la colonna Close corrisponde in realtà ai prezzi di chiusura aggiustati):</w:t>
      </w:r>
    </w:p>
    <w:p w14:paraId="4382DE58" w14:textId="502F967E" w:rsidR="0084015A" w:rsidRPr="00227C80" w:rsidRDefault="0084015A" w:rsidP="00227C80">
      <w:r>
        <w:t>XLF:</w:t>
      </w:r>
      <w:r>
        <w:tab/>
      </w:r>
      <w:r>
        <w:tab/>
      </w:r>
      <w:r>
        <w:tab/>
      </w:r>
      <w:r>
        <w:tab/>
      </w:r>
      <w:r>
        <w:tab/>
      </w:r>
      <w:r>
        <w:tab/>
      </w:r>
      <w:r>
        <w:tab/>
        <w:t>XLK:</w:t>
      </w:r>
    </w:p>
    <w:p w14:paraId="2AD0417F" w14:textId="77777777" w:rsidR="0084015A" w:rsidRDefault="0084015A" w:rsidP="00227C80">
      <w:r>
        <w:rPr>
          <w:noProof/>
        </w:rPr>
        <w:drawing>
          <wp:inline distT="0" distB="0" distL="0" distR="0" wp14:anchorId="336078FE" wp14:editId="37A4CFE6">
            <wp:extent cx="3028950" cy="883642"/>
            <wp:effectExtent l="0" t="0" r="0" b="0"/>
            <wp:docPr id="21269508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50853" name="Immagine 2126950853"/>
                    <pic:cNvPicPr/>
                  </pic:nvPicPr>
                  <pic:blipFill>
                    <a:blip r:embed="rId7">
                      <a:extLst>
                        <a:ext uri="{28A0092B-C50C-407E-A947-70E740481C1C}">
                          <a14:useLocalDpi xmlns:a14="http://schemas.microsoft.com/office/drawing/2010/main" val="0"/>
                        </a:ext>
                      </a:extLst>
                    </a:blip>
                    <a:stretch>
                      <a:fillRect/>
                    </a:stretch>
                  </pic:blipFill>
                  <pic:spPr>
                    <a:xfrm>
                      <a:off x="0" y="0"/>
                      <a:ext cx="3076376" cy="897478"/>
                    </a:xfrm>
                    <a:prstGeom prst="rect">
                      <a:avLst/>
                    </a:prstGeom>
                  </pic:spPr>
                </pic:pic>
              </a:graphicData>
            </a:graphic>
          </wp:inline>
        </w:drawing>
      </w:r>
      <w:r>
        <w:rPr>
          <w:noProof/>
        </w:rPr>
        <w:drawing>
          <wp:inline distT="0" distB="0" distL="0" distR="0" wp14:anchorId="7B488019" wp14:editId="08B1AF59">
            <wp:extent cx="3023489" cy="879475"/>
            <wp:effectExtent l="0" t="0" r="5715" b="0"/>
            <wp:docPr id="157805663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56639" name="Immagine 1578056639"/>
                    <pic:cNvPicPr/>
                  </pic:nvPicPr>
                  <pic:blipFill>
                    <a:blip r:embed="rId8">
                      <a:extLst>
                        <a:ext uri="{28A0092B-C50C-407E-A947-70E740481C1C}">
                          <a14:useLocalDpi xmlns:a14="http://schemas.microsoft.com/office/drawing/2010/main" val="0"/>
                        </a:ext>
                      </a:extLst>
                    </a:blip>
                    <a:stretch>
                      <a:fillRect/>
                    </a:stretch>
                  </pic:blipFill>
                  <pic:spPr>
                    <a:xfrm>
                      <a:off x="0" y="0"/>
                      <a:ext cx="3135573" cy="912078"/>
                    </a:xfrm>
                    <a:prstGeom prst="rect">
                      <a:avLst/>
                    </a:prstGeom>
                  </pic:spPr>
                </pic:pic>
              </a:graphicData>
            </a:graphic>
          </wp:inline>
        </w:drawing>
      </w:r>
    </w:p>
    <w:p w14:paraId="50A19AAB" w14:textId="3D2EADBA" w:rsidR="0084015A" w:rsidRDefault="0084015A" w:rsidP="00227C80">
      <w:r>
        <w:t>XLV:</w:t>
      </w:r>
      <w:r>
        <w:tab/>
      </w:r>
      <w:r>
        <w:tab/>
      </w:r>
      <w:r>
        <w:tab/>
      </w:r>
      <w:r>
        <w:tab/>
      </w:r>
      <w:r>
        <w:tab/>
      </w:r>
      <w:r>
        <w:tab/>
      </w:r>
      <w:r>
        <w:tab/>
        <w:t>XLE:</w:t>
      </w:r>
    </w:p>
    <w:p w14:paraId="638EE36E" w14:textId="1FD2E6BC" w:rsidR="003D73A7" w:rsidRDefault="0084015A" w:rsidP="00227C80">
      <w:r>
        <w:rPr>
          <w:noProof/>
        </w:rPr>
        <w:drawing>
          <wp:inline distT="0" distB="0" distL="0" distR="0" wp14:anchorId="312244A1" wp14:editId="0AAFAAA9">
            <wp:extent cx="3029410" cy="894080"/>
            <wp:effectExtent l="0" t="0" r="0" b="1270"/>
            <wp:docPr id="58037261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72610" name="Immagine 580372610"/>
                    <pic:cNvPicPr/>
                  </pic:nvPicPr>
                  <pic:blipFill>
                    <a:blip r:embed="rId9">
                      <a:extLst>
                        <a:ext uri="{28A0092B-C50C-407E-A947-70E740481C1C}">
                          <a14:useLocalDpi xmlns:a14="http://schemas.microsoft.com/office/drawing/2010/main" val="0"/>
                        </a:ext>
                      </a:extLst>
                    </a:blip>
                    <a:stretch>
                      <a:fillRect/>
                    </a:stretch>
                  </pic:blipFill>
                  <pic:spPr>
                    <a:xfrm>
                      <a:off x="0" y="0"/>
                      <a:ext cx="3082886" cy="909863"/>
                    </a:xfrm>
                    <a:prstGeom prst="rect">
                      <a:avLst/>
                    </a:prstGeom>
                  </pic:spPr>
                </pic:pic>
              </a:graphicData>
            </a:graphic>
          </wp:inline>
        </w:drawing>
      </w:r>
      <w:r>
        <w:rPr>
          <w:noProof/>
        </w:rPr>
        <w:drawing>
          <wp:inline distT="0" distB="0" distL="0" distR="0" wp14:anchorId="4357D7C0" wp14:editId="7B91DE85">
            <wp:extent cx="3043237" cy="895351"/>
            <wp:effectExtent l="0" t="0" r="5080" b="0"/>
            <wp:docPr id="19788021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0214" name="Immagine 197880214"/>
                    <pic:cNvPicPr/>
                  </pic:nvPicPr>
                  <pic:blipFill>
                    <a:blip r:embed="rId10">
                      <a:extLst>
                        <a:ext uri="{28A0092B-C50C-407E-A947-70E740481C1C}">
                          <a14:useLocalDpi xmlns:a14="http://schemas.microsoft.com/office/drawing/2010/main" val="0"/>
                        </a:ext>
                      </a:extLst>
                    </a:blip>
                    <a:stretch>
                      <a:fillRect/>
                    </a:stretch>
                  </pic:blipFill>
                  <pic:spPr>
                    <a:xfrm>
                      <a:off x="0" y="0"/>
                      <a:ext cx="3164309" cy="930971"/>
                    </a:xfrm>
                    <a:prstGeom prst="rect">
                      <a:avLst/>
                    </a:prstGeom>
                  </pic:spPr>
                </pic:pic>
              </a:graphicData>
            </a:graphic>
          </wp:inline>
        </w:drawing>
      </w:r>
    </w:p>
    <w:p w14:paraId="189C3433" w14:textId="62BC1424" w:rsidR="0084015A" w:rsidRDefault="0084015A" w:rsidP="00227C80">
      <w:r>
        <w:t>XLI:</w:t>
      </w:r>
      <w:r>
        <w:tab/>
      </w:r>
      <w:r>
        <w:tab/>
      </w:r>
      <w:r>
        <w:tab/>
      </w:r>
      <w:r>
        <w:tab/>
      </w:r>
      <w:r>
        <w:tab/>
      </w:r>
      <w:r>
        <w:tab/>
      </w:r>
      <w:r>
        <w:tab/>
        <w:t>XLY:</w:t>
      </w:r>
    </w:p>
    <w:p w14:paraId="16FC5671" w14:textId="77777777" w:rsidR="000B1DBB" w:rsidRDefault="0084015A" w:rsidP="00590267">
      <w:r>
        <w:rPr>
          <w:noProof/>
        </w:rPr>
        <w:drawing>
          <wp:inline distT="0" distB="0" distL="0" distR="0" wp14:anchorId="6DBD3DE8" wp14:editId="21DD0C84">
            <wp:extent cx="3055620" cy="899280"/>
            <wp:effectExtent l="0" t="0" r="0" b="0"/>
            <wp:docPr id="82788148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81482" name="Immagine 827881482"/>
                    <pic:cNvPicPr/>
                  </pic:nvPicPr>
                  <pic:blipFill>
                    <a:blip r:embed="rId11">
                      <a:extLst>
                        <a:ext uri="{28A0092B-C50C-407E-A947-70E740481C1C}">
                          <a14:useLocalDpi xmlns:a14="http://schemas.microsoft.com/office/drawing/2010/main" val="0"/>
                        </a:ext>
                      </a:extLst>
                    </a:blip>
                    <a:stretch>
                      <a:fillRect/>
                    </a:stretch>
                  </pic:blipFill>
                  <pic:spPr>
                    <a:xfrm>
                      <a:off x="0" y="0"/>
                      <a:ext cx="3079942" cy="906438"/>
                    </a:xfrm>
                    <a:prstGeom prst="rect">
                      <a:avLst/>
                    </a:prstGeom>
                  </pic:spPr>
                </pic:pic>
              </a:graphicData>
            </a:graphic>
          </wp:inline>
        </w:drawing>
      </w:r>
      <w:r>
        <w:rPr>
          <w:noProof/>
        </w:rPr>
        <w:drawing>
          <wp:inline distT="0" distB="0" distL="0" distR="0" wp14:anchorId="5A1496AA" wp14:editId="758AC3DC">
            <wp:extent cx="3045235" cy="899069"/>
            <wp:effectExtent l="0" t="0" r="3175" b="0"/>
            <wp:docPr id="129107054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70541" name="Immagine 1291070541"/>
                    <pic:cNvPicPr/>
                  </pic:nvPicPr>
                  <pic:blipFill>
                    <a:blip r:embed="rId12">
                      <a:extLst>
                        <a:ext uri="{28A0092B-C50C-407E-A947-70E740481C1C}">
                          <a14:useLocalDpi xmlns:a14="http://schemas.microsoft.com/office/drawing/2010/main" val="0"/>
                        </a:ext>
                      </a:extLst>
                    </a:blip>
                    <a:stretch>
                      <a:fillRect/>
                    </a:stretch>
                  </pic:blipFill>
                  <pic:spPr>
                    <a:xfrm>
                      <a:off x="0" y="0"/>
                      <a:ext cx="3075680" cy="908057"/>
                    </a:xfrm>
                    <a:prstGeom prst="rect">
                      <a:avLst/>
                    </a:prstGeom>
                  </pic:spPr>
                </pic:pic>
              </a:graphicData>
            </a:graphic>
          </wp:inline>
        </w:drawing>
      </w:r>
    </w:p>
    <w:p w14:paraId="692D367F" w14:textId="59226151" w:rsidR="00590267" w:rsidRPr="00590267" w:rsidRDefault="00590267" w:rsidP="00590267">
      <w:r w:rsidRPr="00590267">
        <w:lastRenderedPageBreak/>
        <w:t>Dall'ispezione visiva dei dati tramite il grafico dell'andamento dei prezzi, si possono trarre le prime considerazioni macroeconomiche:</w:t>
      </w:r>
    </w:p>
    <w:p w14:paraId="069085F9" w14:textId="77777777" w:rsidR="00590267" w:rsidRPr="00590267" w:rsidRDefault="00590267" w:rsidP="00590267">
      <w:pPr>
        <w:numPr>
          <w:ilvl w:val="0"/>
          <w:numId w:val="8"/>
        </w:numPr>
      </w:pPr>
      <w:r w:rsidRPr="00590267">
        <w:t>Trend di crescita</w:t>
      </w:r>
      <w:r w:rsidRPr="00590267">
        <w:rPr>
          <w:b/>
          <w:bCs/>
        </w:rPr>
        <w:t>:</w:t>
      </w:r>
      <w:r w:rsidRPr="00590267">
        <w:t xml:space="preserve"> Si osserva una chiara tendenza rialzista di lungo periodo, guidata principalmente dal settore XLK (Technology), che mostra la pendenza più marcata.</w:t>
      </w:r>
    </w:p>
    <w:p w14:paraId="71706125" w14:textId="77777777" w:rsidR="00590267" w:rsidRPr="00590267" w:rsidRDefault="00590267" w:rsidP="00590267">
      <w:pPr>
        <w:numPr>
          <w:ilvl w:val="0"/>
          <w:numId w:val="8"/>
        </w:numPr>
      </w:pPr>
      <w:r w:rsidRPr="00590267">
        <w:t>Shock di mercato: È chiaramente visibile il crollo repentino e la successiva rapida ripresa avvenuta nel primo trimestre del 2020 (Pandemia COVID-19), che ha colpito indistintamente tutti i settori.</w:t>
      </w:r>
    </w:p>
    <w:p w14:paraId="7F4BB16A" w14:textId="77777777" w:rsidR="00590267" w:rsidRPr="00590267" w:rsidRDefault="00590267" w:rsidP="00590267">
      <w:pPr>
        <w:numPr>
          <w:ilvl w:val="0"/>
          <w:numId w:val="8"/>
        </w:numPr>
      </w:pPr>
      <w:r w:rsidRPr="00590267">
        <w:t>Divergenza settoriale: Si nota come il settore XLE (Energy) abbia seguito un percorso differente, con una fase di forte calo tra il 2018 e il 2020, seguita da una performance eccezionale nel biennio 2022-2024, legata alla crisi energetica e alle tensioni geopolitiche.</w:t>
      </w:r>
    </w:p>
    <w:p w14:paraId="18F1143C" w14:textId="063EC0FE" w:rsidR="007F57EA" w:rsidRDefault="00590267" w:rsidP="007F57EA">
      <w:pPr>
        <w:jc w:val="center"/>
      </w:pPr>
      <w:r>
        <w:rPr>
          <w:noProof/>
        </w:rPr>
        <w:drawing>
          <wp:inline distT="0" distB="0" distL="0" distR="0" wp14:anchorId="307E7C68" wp14:editId="739D1A8D">
            <wp:extent cx="5266954" cy="4169672"/>
            <wp:effectExtent l="0" t="0" r="0" b="2540"/>
            <wp:docPr id="56775536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55363" name="Immagine 567755363"/>
                    <pic:cNvPicPr/>
                  </pic:nvPicPr>
                  <pic:blipFill>
                    <a:blip r:embed="rId13">
                      <a:extLst>
                        <a:ext uri="{28A0092B-C50C-407E-A947-70E740481C1C}">
                          <a14:useLocalDpi xmlns:a14="http://schemas.microsoft.com/office/drawing/2010/main" val="0"/>
                        </a:ext>
                      </a:extLst>
                    </a:blip>
                    <a:stretch>
                      <a:fillRect/>
                    </a:stretch>
                  </pic:blipFill>
                  <pic:spPr>
                    <a:xfrm>
                      <a:off x="0" y="0"/>
                      <a:ext cx="5266954" cy="4169672"/>
                    </a:xfrm>
                    <a:prstGeom prst="rect">
                      <a:avLst/>
                    </a:prstGeom>
                  </pic:spPr>
                </pic:pic>
              </a:graphicData>
            </a:graphic>
          </wp:inline>
        </w:drawing>
      </w:r>
    </w:p>
    <w:p w14:paraId="694F0896" w14:textId="77777777" w:rsidR="007F57EA" w:rsidRDefault="007F57EA" w:rsidP="007F57EA">
      <w:pPr>
        <w:jc w:val="center"/>
      </w:pPr>
    </w:p>
    <w:p w14:paraId="64E8CD38" w14:textId="77777777" w:rsidR="007F57EA" w:rsidRDefault="007F57EA" w:rsidP="007F57EA">
      <w:pPr>
        <w:jc w:val="center"/>
      </w:pPr>
    </w:p>
    <w:p w14:paraId="656BFE84" w14:textId="77777777" w:rsidR="003D73A7" w:rsidRDefault="003D73A7" w:rsidP="00590267"/>
    <w:p w14:paraId="5D0A0727" w14:textId="77777777" w:rsidR="000B1DBB" w:rsidRDefault="000B1DBB" w:rsidP="00590267"/>
    <w:p w14:paraId="666D8EF4" w14:textId="77777777" w:rsidR="000B1DBB" w:rsidRDefault="000B1DBB" w:rsidP="00590267"/>
    <w:p w14:paraId="159A32F7" w14:textId="77777777" w:rsidR="000B1DBB" w:rsidRDefault="000B1DBB" w:rsidP="00590267"/>
    <w:p w14:paraId="79EA4D2C" w14:textId="77777777" w:rsidR="000B1DBB" w:rsidRDefault="000B1DBB" w:rsidP="00590267"/>
    <w:p w14:paraId="7D30772F" w14:textId="77777777" w:rsidR="000B1DBB" w:rsidRDefault="000B1DBB" w:rsidP="00590267"/>
    <w:p w14:paraId="451B1870" w14:textId="77777777" w:rsidR="000B1DBB" w:rsidRDefault="000B1DBB" w:rsidP="00590267"/>
    <w:p w14:paraId="1C6B938F" w14:textId="78E48EA1" w:rsidR="007F57EA" w:rsidRPr="00D44799" w:rsidRDefault="007F57EA" w:rsidP="007F57EA">
      <w:pPr>
        <w:rPr>
          <w:u w:val="single"/>
        </w:rPr>
      </w:pPr>
      <w:r w:rsidRPr="007F57EA">
        <w:rPr>
          <w:u w:val="single"/>
        </w:rPr>
        <w:lastRenderedPageBreak/>
        <w:t>2.STATISTICHE DESCRITTIVE</w:t>
      </w:r>
    </w:p>
    <w:p w14:paraId="6FFC340D" w14:textId="1340D5E1" w:rsidR="007F57EA" w:rsidRPr="007F57EA" w:rsidRDefault="007F57EA" w:rsidP="007F57EA">
      <w:pPr>
        <w:pStyle w:val="Paragrafoelenco"/>
        <w:numPr>
          <w:ilvl w:val="0"/>
          <w:numId w:val="7"/>
        </w:numPr>
        <w:rPr>
          <w:i/>
          <w:iCs/>
        </w:rPr>
      </w:pPr>
      <w:r w:rsidRPr="007F57EA">
        <w:rPr>
          <w:i/>
          <w:iCs/>
        </w:rPr>
        <w:t>Calcolare il rendimento cumulato e composto annuo di ciascun titolo nel periodo</w:t>
      </w:r>
    </w:p>
    <w:p w14:paraId="667373D6" w14:textId="0A7CDCD8" w:rsidR="00363294" w:rsidRDefault="00363294" w:rsidP="00363294">
      <w:pPr>
        <w:rPr>
          <w:rFonts w:eastAsiaTheme="minorEastAsia"/>
        </w:rPr>
      </w:pPr>
      <w:r w:rsidRPr="00363294">
        <w:t xml:space="preserve">Il rendimento cumulato misura la variazione percentuale totale del valore di un investimento dal primo all'ultimo giorno del campione. </w:t>
      </w:r>
      <w:r>
        <w:rPr>
          <w:rFonts w:eastAsiaTheme="minorEastAsia"/>
        </w:rPr>
        <w:t xml:space="preserve">Formula: </w:t>
      </w:r>
      <m:oMath>
        <m:sSub>
          <m:sSubPr>
            <m:ctrlPr>
              <w:rPr>
                <w:rFonts w:ascii="Cambria Math" w:hAnsi="Cambria Math"/>
                <w:i/>
              </w:rPr>
            </m:ctrlPr>
          </m:sSubPr>
          <m:e>
            <m:r>
              <w:rPr>
                <w:rFonts w:ascii="Cambria Math" w:hAnsi="Cambria Math"/>
              </w:rPr>
              <m:t>R</m:t>
            </m:r>
          </m:e>
          <m:sub>
            <m:r>
              <w:rPr>
                <w:rFonts w:ascii="Cambria Math" w:hAnsi="Cambria Math"/>
              </w:rPr>
              <m:t>cum</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finale</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iniziale</m:t>
                    </m:r>
                  </m:sub>
                </m:sSub>
              </m:e>
            </m:d>
          </m:num>
          <m:den>
            <m:sSub>
              <m:sSubPr>
                <m:ctrlPr>
                  <w:rPr>
                    <w:rFonts w:ascii="Cambria Math" w:hAnsi="Cambria Math"/>
                    <w:i/>
                  </w:rPr>
                </m:ctrlPr>
              </m:sSubPr>
              <m:e>
                <m:r>
                  <w:rPr>
                    <w:rFonts w:ascii="Cambria Math" w:hAnsi="Cambria Math"/>
                  </w:rPr>
                  <m:t>P</m:t>
                </m:r>
              </m:e>
              <m:sub>
                <m:r>
                  <w:rPr>
                    <w:rFonts w:ascii="Cambria Math" w:hAnsi="Cambria Math"/>
                  </w:rPr>
                  <m:t>iniziale</m:t>
                </m:r>
              </m:sub>
            </m:sSub>
          </m:den>
        </m:f>
      </m:oMath>
      <w:r>
        <w:rPr>
          <w:rFonts w:eastAsiaTheme="minorEastAsia"/>
        </w:rPr>
        <w:t>;</w:t>
      </w:r>
    </w:p>
    <w:p w14:paraId="18062A38" w14:textId="689988A3" w:rsidR="00363294" w:rsidRDefault="00363294" w:rsidP="00363294">
      <w:pPr>
        <w:rPr>
          <w:rFonts w:eastAsiaTheme="minorEastAsia"/>
        </w:rPr>
      </w:pPr>
      <w:r w:rsidRPr="00363294">
        <w:t>Il</w:t>
      </w:r>
      <w:r>
        <w:t xml:space="preserve"> rendimento composto annuo</w:t>
      </w:r>
      <w:r w:rsidRPr="00363294">
        <w:t xml:space="preserve"> è la misura più precisa per confrontare titoli con volatilità diverse, poiché rappresenta il tasso di rendimento annuo costante che porterebbe dal valore iniziale a quello finale.</w:t>
      </w:r>
      <w:r>
        <w:t xml:space="preserve"> </w:t>
      </w:r>
      <w:r w:rsidRPr="00363294">
        <w:t>Formula</w:t>
      </w:r>
      <m:oMath>
        <m:r>
          <w:rPr>
            <w:rFonts w:ascii="Cambria Math" w:hAnsi="Cambria Math"/>
          </w:rPr>
          <m:t>: CAGR=</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finale</m:t>
                        </m:r>
                      </m:sub>
                    </m:sSub>
                  </m:num>
                  <m:den>
                    <m:sSub>
                      <m:sSubPr>
                        <m:ctrlPr>
                          <w:rPr>
                            <w:rFonts w:ascii="Cambria Math" w:hAnsi="Cambria Math"/>
                            <w:i/>
                          </w:rPr>
                        </m:ctrlPr>
                      </m:sSubPr>
                      <m:e>
                        <m:r>
                          <w:rPr>
                            <w:rFonts w:ascii="Cambria Math" w:hAnsi="Cambria Math"/>
                          </w:rPr>
                          <m:t>P</m:t>
                        </m:r>
                      </m:e>
                      <m:sub>
                        <m:r>
                          <w:rPr>
                            <w:rFonts w:ascii="Cambria Math" w:hAnsi="Cambria Math"/>
                          </w:rPr>
                          <m:t>iniziale</m:t>
                        </m:r>
                      </m:sub>
                    </m:sSub>
                  </m:den>
                </m:f>
              </m:e>
            </m:d>
          </m:e>
          <m:sup>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-1</m:t>
        </m:r>
      </m:oMath>
      <w:r w:rsidR="001D310A">
        <w:rPr>
          <w:rFonts w:eastAsiaTheme="minorEastAsia"/>
        </w:rPr>
        <w:t xml:space="preserve">; </w:t>
      </w:r>
    </w:p>
    <w:p w14:paraId="2AAEEAE7" w14:textId="1DE19DDF" w:rsidR="001D310A" w:rsidRDefault="001D310A" w:rsidP="00363294">
      <w:pPr>
        <w:rPr>
          <w:rFonts w:eastAsiaTheme="minorEastAsia"/>
        </w:rPr>
      </w:pPr>
      <w:r>
        <w:rPr>
          <w:rFonts w:eastAsiaTheme="minorEastAsia"/>
        </w:rPr>
        <w:t>Tabella riassuntiva dei rendimenti dei sei ETF:</w:t>
      </w:r>
    </w:p>
    <w:tbl>
      <w:tblPr>
        <w:tblStyle w:val="Grigliatabella"/>
        <w:tblW w:w="0" w:type="auto"/>
        <w:tblLook w:val="04A0" w:firstRow="1" w:lastRow="0" w:firstColumn="1" w:lastColumn="0" w:noHBand="0" w:noVBand="1"/>
      </w:tblPr>
      <w:tblGrid>
        <w:gridCol w:w="2972"/>
        <w:gridCol w:w="2977"/>
        <w:gridCol w:w="3679"/>
      </w:tblGrid>
      <w:tr w:rsidR="001D310A" w14:paraId="2CD29745" w14:textId="77777777" w:rsidTr="001D310A">
        <w:tc>
          <w:tcPr>
            <w:tcW w:w="2972" w:type="dxa"/>
          </w:tcPr>
          <w:p w14:paraId="0073D610" w14:textId="3CECFCF2" w:rsidR="001D310A" w:rsidRPr="001D310A" w:rsidRDefault="001D310A" w:rsidP="00363294">
            <w:pPr>
              <w:rPr>
                <w:b/>
                <w:bCs/>
              </w:rPr>
            </w:pPr>
            <w:r w:rsidRPr="001D310A">
              <w:rPr>
                <w:b/>
                <w:bCs/>
              </w:rPr>
              <w:t>Ticker</w:t>
            </w:r>
          </w:p>
        </w:tc>
        <w:tc>
          <w:tcPr>
            <w:tcW w:w="2977" w:type="dxa"/>
          </w:tcPr>
          <w:p w14:paraId="76E7DFAD" w14:textId="54D6E507" w:rsidR="001D310A" w:rsidRPr="001D310A" w:rsidRDefault="001D310A" w:rsidP="00363294">
            <w:pPr>
              <w:rPr>
                <w:b/>
                <w:bCs/>
              </w:rPr>
            </w:pPr>
            <w:r w:rsidRPr="001D310A">
              <w:rPr>
                <w:b/>
                <w:bCs/>
              </w:rPr>
              <w:t>Rendimento Cumulato</w:t>
            </w:r>
          </w:p>
        </w:tc>
        <w:tc>
          <w:tcPr>
            <w:tcW w:w="3679" w:type="dxa"/>
          </w:tcPr>
          <w:p w14:paraId="387CF512" w14:textId="2C996BA8" w:rsidR="001D310A" w:rsidRPr="001D310A" w:rsidRDefault="001D310A" w:rsidP="00363294">
            <w:pPr>
              <w:rPr>
                <w:b/>
                <w:bCs/>
              </w:rPr>
            </w:pPr>
            <w:r w:rsidRPr="001D310A">
              <w:rPr>
                <w:b/>
                <w:bCs/>
              </w:rPr>
              <w:t>Rendimento Composto Annuo</w:t>
            </w:r>
          </w:p>
        </w:tc>
      </w:tr>
      <w:tr w:rsidR="001D310A" w14:paraId="4EAACE99" w14:textId="77777777" w:rsidTr="001D310A">
        <w:tc>
          <w:tcPr>
            <w:tcW w:w="2972" w:type="dxa"/>
          </w:tcPr>
          <w:p w14:paraId="260202D7" w14:textId="4B008BD6" w:rsidR="001D310A" w:rsidRPr="001D310A" w:rsidRDefault="001D310A" w:rsidP="00363294">
            <w:pPr>
              <w:rPr>
                <w:b/>
                <w:bCs/>
              </w:rPr>
            </w:pPr>
            <w:r w:rsidRPr="001D310A">
              <w:rPr>
                <w:b/>
                <w:bCs/>
              </w:rPr>
              <w:t>XLF</w:t>
            </w:r>
          </w:p>
        </w:tc>
        <w:tc>
          <w:tcPr>
            <w:tcW w:w="2977" w:type="dxa"/>
          </w:tcPr>
          <w:p w14:paraId="3633C49A" w14:textId="5B989EDC" w:rsidR="001D310A" w:rsidRDefault="001D310A" w:rsidP="00363294">
            <w:r>
              <w:t>2.190</w:t>
            </w:r>
          </w:p>
        </w:tc>
        <w:tc>
          <w:tcPr>
            <w:tcW w:w="3679" w:type="dxa"/>
          </w:tcPr>
          <w:p w14:paraId="7B0A2142" w14:textId="3FE19FE3" w:rsidR="001D310A" w:rsidRDefault="001D310A" w:rsidP="00363294">
            <w:r>
              <w:t>0.123</w:t>
            </w:r>
          </w:p>
        </w:tc>
      </w:tr>
      <w:tr w:rsidR="001D310A" w14:paraId="3EAB53F2" w14:textId="77777777" w:rsidTr="001D310A">
        <w:tc>
          <w:tcPr>
            <w:tcW w:w="2972" w:type="dxa"/>
          </w:tcPr>
          <w:p w14:paraId="09C49389" w14:textId="22491FFD" w:rsidR="001D310A" w:rsidRPr="001D310A" w:rsidRDefault="001D310A" w:rsidP="00363294">
            <w:pPr>
              <w:rPr>
                <w:b/>
                <w:bCs/>
              </w:rPr>
            </w:pPr>
            <w:r w:rsidRPr="001D310A">
              <w:rPr>
                <w:b/>
                <w:bCs/>
              </w:rPr>
              <w:t>XLK</w:t>
            </w:r>
          </w:p>
        </w:tc>
        <w:tc>
          <w:tcPr>
            <w:tcW w:w="2977" w:type="dxa"/>
          </w:tcPr>
          <w:p w14:paraId="555C9AFA" w14:textId="307B86C3" w:rsidR="001D310A" w:rsidRPr="001D310A" w:rsidRDefault="001D310A" w:rsidP="00363294">
            <w:pPr>
              <w:rPr>
                <w:color w:val="000000" w:themeColor="text1"/>
                <w:highlight w:val="green"/>
              </w:rPr>
            </w:pPr>
            <w:r w:rsidRPr="001D310A">
              <w:rPr>
                <w:color w:val="000000" w:themeColor="text1"/>
                <w:highlight w:val="green"/>
              </w:rPr>
              <w:t>5.409</w:t>
            </w:r>
          </w:p>
        </w:tc>
        <w:tc>
          <w:tcPr>
            <w:tcW w:w="3679" w:type="dxa"/>
          </w:tcPr>
          <w:p w14:paraId="5CB2491A" w14:textId="51C1DE80" w:rsidR="001D310A" w:rsidRPr="001D310A" w:rsidRDefault="001D310A" w:rsidP="00363294">
            <w:pPr>
              <w:rPr>
                <w:highlight w:val="green"/>
              </w:rPr>
            </w:pPr>
            <w:r w:rsidRPr="001D310A">
              <w:rPr>
                <w:highlight w:val="green"/>
              </w:rPr>
              <w:t>0.204</w:t>
            </w:r>
          </w:p>
        </w:tc>
      </w:tr>
      <w:tr w:rsidR="001D310A" w14:paraId="2190416B" w14:textId="77777777" w:rsidTr="001D310A">
        <w:tc>
          <w:tcPr>
            <w:tcW w:w="2972" w:type="dxa"/>
          </w:tcPr>
          <w:p w14:paraId="4DC03B29" w14:textId="088C0278" w:rsidR="001D310A" w:rsidRPr="001D310A" w:rsidRDefault="001D310A" w:rsidP="00363294">
            <w:pPr>
              <w:rPr>
                <w:b/>
                <w:bCs/>
              </w:rPr>
            </w:pPr>
            <w:r w:rsidRPr="001D310A">
              <w:rPr>
                <w:b/>
                <w:bCs/>
              </w:rPr>
              <w:t>XLV</w:t>
            </w:r>
          </w:p>
        </w:tc>
        <w:tc>
          <w:tcPr>
            <w:tcW w:w="2977" w:type="dxa"/>
          </w:tcPr>
          <w:p w14:paraId="62AA8256" w14:textId="58D6CE18" w:rsidR="001D310A" w:rsidRPr="001D310A" w:rsidRDefault="001D310A" w:rsidP="00363294">
            <w:pPr>
              <w:rPr>
                <w:highlight w:val="red"/>
              </w:rPr>
            </w:pPr>
            <w:r w:rsidRPr="001D310A">
              <w:rPr>
                <w:highlight w:val="red"/>
              </w:rPr>
              <w:t>1.508</w:t>
            </w:r>
          </w:p>
        </w:tc>
        <w:tc>
          <w:tcPr>
            <w:tcW w:w="3679" w:type="dxa"/>
          </w:tcPr>
          <w:p w14:paraId="42571367" w14:textId="215B4689" w:rsidR="001D310A" w:rsidRPr="001D310A" w:rsidRDefault="001D310A" w:rsidP="00363294">
            <w:pPr>
              <w:rPr>
                <w:highlight w:val="red"/>
              </w:rPr>
            </w:pPr>
            <w:r w:rsidRPr="001D310A">
              <w:rPr>
                <w:highlight w:val="red"/>
              </w:rPr>
              <w:t>0.096</w:t>
            </w:r>
          </w:p>
        </w:tc>
      </w:tr>
      <w:tr w:rsidR="001D310A" w14:paraId="5196EA14" w14:textId="77777777" w:rsidTr="001D310A">
        <w:tc>
          <w:tcPr>
            <w:tcW w:w="2972" w:type="dxa"/>
          </w:tcPr>
          <w:p w14:paraId="362A6809" w14:textId="6370FB48" w:rsidR="001D310A" w:rsidRPr="001D310A" w:rsidRDefault="001D310A" w:rsidP="00363294">
            <w:pPr>
              <w:rPr>
                <w:b/>
                <w:bCs/>
              </w:rPr>
            </w:pPr>
            <w:r w:rsidRPr="001D310A">
              <w:rPr>
                <w:b/>
                <w:bCs/>
              </w:rPr>
              <w:t>XLE</w:t>
            </w:r>
          </w:p>
        </w:tc>
        <w:tc>
          <w:tcPr>
            <w:tcW w:w="2977" w:type="dxa"/>
          </w:tcPr>
          <w:p w14:paraId="13E5E3A9" w14:textId="79446FD0" w:rsidR="001D310A" w:rsidRDefault="001D310A" w:rsidP="00363294">
            <w:r>
              <w:t>2.004</w:t>
            </w:r>
          </w:p>
        </w:tc>
        <w:tc>
          <w:tcPr>
            <w:tcW w:w="3679" w:type="dxa"/>
          </w:tcPr>
          <w:p w14:paraId="755B7B52" w14:textId="289F9572" w:rsidR="001D310A" w:rsidRDefault="001D310A" w:rsidP="00363294">
            <w:r>
              <w:t>0.116</w:t>
            </w:r>
          </w:p>
        </w:tc>
      </w:tr>
      <w:tr w:rsidR="001D310A" w14:paraId="427C5DA3" w14:textId="77777777" w:rsidTr="001D310A">
        <w:tc>
          <w:tcPr>
            <w:tcW w:w="2972" w:type="dxa"/>
          </w:tcPr>
          <w:p w14:paraId="259EF3AF" w14:textId="03C02775" w:rsidR="001D310A" w:rsidRPr="001D310A" w:rsidRDefault="001D310A" w:rsidP="00363294">
            <w:pPr>
              <w:rPr>
                <w:b/>
                <w:bCs/>
              </w:rPr>
            </w:pPr>
            <w:r w:rsidRPr="001D310A">
              <w:rPr>
                <w:b/>
                <w:bCs/>
              </w:rPr>
              <w:t>XLI</w:t>
            </w:r>
          </w:p>
        </w:tc>
        <w:tc>
          <w:tcPr>
            <w:tcW w:w="2977" w:type="dxa"/>
          </w:tcPr>
          <w:p w14:paraId="5DF7420F" w14:textId="6FABD670" w:rsidR="001D310A" w:rsidRDefault="001D310A" w:rsidP="00363294">
            <w:r>
              <w:t>2.364</w:t>
            </w:r>
          </w:p>
        </w:tc>
        <w:tc>
          <w:tcPr>
            <w:tcW w:w="3679" w:type="dxa"/>
          </w:tcPr>
          <w:p w14:paraId="71AE3035" w14:textId="14DD76CF" w:rsidR="001D310A" w:rsidRDefault="001D310A" w:rsidP="00363294">
            <w:r>
              <w:t>0.129</w:t>
            </w:r>
          </w:p>
        </w:tc>
      </w:tr>
      <w:tr w:rsidR="001D310A" w14:paraId="701C39B4" w14:textId="77777777" w:rsidTr="001D310A">
        <w:tc>
          <w:tcPr>
            <w:tcW w:w="2972" w:type="dxa"/>
          </w:tcPr>
          <w:p w14:paraId="408EB1D6" w14:textId="7A569FD7" w:rsidR="001D310A" w:rsidRPr="001D310A" w:rsidRDefault="001D310A" w:rsidP="00363294">
            <w:pPr>
              <w:rPr>
                <w:b/>
                <w:bCs/>
              </w:rPr>
            </w:pPr>
            <w:r w:rsidRPr="001D310A">
              <w:rPr>
                <w:b/>
                <w:bCs/>
              </w:rPr>
              <w:t>XLY</w:t>
            </w:r>
          </w:p>
        </w:tc>
        <w:tc>
          <w:tcPr>
            <w:tcW w:w="2977" w:type="dxa"/>
          </w:tcPr>
          <w:p w14:paraId="3D4936A2" w14:textId="13EF52E3" w:rsidR="001D310A" w:rsidRDefault="001D310A" w:rsidP="00363294">
            <w:r>
              <w:t>1.969</w:t>
            </w:r>
          </w:p>
        </w:tc>
        <w:tc>
          <w:tcPr>
            <w:tcW w:w="3679" w:type="dxa"/>
          </w:tcPr>
          <w:p w14:paraId="3CC1C12A" w14:textId="1DC5D221" w:rsidR="001D310A" w:rsidRDefault="001D310A" w:rsidP="00363294">
            <w:r>
              <w:t>0.115</w:t>
            </w:r>
          </w:p>
        </w:tc>
      </w:tr>
    </w:tbl>
    <w:p w14:paraId="73B56B22" w14:textId="77777777" w:rsidR="001D310A" w:rsidRDefault="001D310A" w:rsidP="00363294"/>
    <w:p w14:paraId="6A13304E" w14:textId="77777777" w:rsidR="001D310A" w:rsidRPr="00363294" w:rsidRDefault="001D310A" w:rsidP="00363294"/>
    <w:p w14:paraId="423C0527" w14:textId="18DF83EC" w:rsidR="00AD3D15" w:rsidRPr="00A453CA" w:rsidRDefault="001D310A" w:rsidP="00AD3D15">
      <w:pPr>
        <w:pStyle w:val="Paragrafoelenco"/>
        <w:numPr>
          <w:ilvl w:val="0"/>
          <w:numId w:val="7"/>
        </w:numPr>
        <w:rPr>
          <w:i/>
          <w:iCs/>
        </w:rPr>
      </w:pPr>
      <w:r w:rsidRPr="001D310A">
        <w:rPr>
          <w:i/>
          <w:iCs/>
        </w:rPr>
        <w:t>Calcolare i rendimenti semplici e logaritmici e visualizzarli in un grafico</w:t>
      </w:r>
    </w:p>
    <w:p w14:paraId="45525AAA" w14:textId="1D1A8373" w:rsidR="00AD3D15" w:rsidRPr="00AD3D15" w:rsidRDefault="00AD3D15" w:rsidP="00AD3D15">
      <w:pPr>
        <w:rPr>
          <w:i/>
          <w:iCs/>
        </w:rPr>
      </w:pPr>
      <w:r w:rsidRPr="00AD3D15">
        <w:t xml:space="preserve">Rendimento Semplice </w:t>
      </w:r>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oMath>
      <w:r w:rsidRPr="00AD3D15">
        <w:t>): Rappresenta la variazione percentuale immediata del prezzo. È il valore più intuitivo per comunicare i risultati finanziari.</w:t>
      </w:r>
      <w:r>
        <w:t xml:space="preserve"> Formula:</w:t>
      </w:r>
      <w:r>
        <w:rPr>
          <w:i/>
          <w:iCs/>
        </w:rP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num>
          <m:den>
            <m:sSub>
              <m:sSubPr>
                <m:ctrlPr>
                  <w:rPr>
                    <w:rFonts w:ascii="Cambria Math" w:hAnsi="Cambria Math"/>
                    <w:i/>
                  </w:rPr>
                </m:ctrlPr>
              </m:sSubPr>
              <m:e>
                <m:r>
                  <w:rPr>
                    <w:rFonts w:ascii="Cambria Math" w:hAnsi="Cambria Math"/>
                  </w:rPr>
                  <m:t>P</m:t>
                </m:r>
              </m:e>
              <m:sub>
                <m:r>
                  <w:rPr>
                    <w:rFonts w:ascii="Cambria Math" w:hAnsi="Cambria Math"/>
                  </w:rPr>
                  <m:t>t-1</m:t>
                </m:r>
              </m:sub>
            </m:sSub>
          </m:den>
        </m:f>
        <m:r>
          <w:rPr>
            <w:rFonts w:ascii="Cambria Math" w:hAnsi="Cambria Math"/>
          </w:rPr>
          <m:t xml:space="preserve"> </m:t>
        </m:r>
      </m:oMath>
      <w:r>
        <w:rPr>
          <w:rFonts w:eastAsiaTheme="minorEastAsia"/>
          <w:i/>
        </w:rPr>
        <w:t>;</w:t>
      </w:r>
    </w:p>
    <w:p w14:paraId="3420B2BC" w14:textId="77777777" w:rsidR="00AD3D15" w:rsidRDefault="00AD3D15" w:rsidP="00AD3D15">
      <w:r w:rsidRPr="00AD3D15">
        <w:t xml:space="preserve">Rendimento Logaritmico </w:t>
      </w:r>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oMath>
      <w:r w:rsidRPr="00AD3D15">
        <w:t>): Calcolato come il logaritmo naturale del rapporto tra prezzi consecutivi. È lo standard nella modellistica finanziaria.</w:t>
      </w:r>
      <w:r>
        <w:t xml:space="preserve"> </w:t>
      </w:r>
      <w:r w:rsidRPr="00AD3D15">
        <w:t>I rendimenti logaritmici sono preferibili per la loro additività temporale (la somma dei rendimenti giornalieri corrisponde al rendimento totale del periodo) e perché tendono a una distribuzione più vicina alla normale, facilitando i test statistici.</w:t>
      </w:r>
      <w:r>
        <w:t xml:space="preserve"> Formula: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t-1</m:t>
                    </m:r>
                  </m:sub>
                </m:sSub>
              </m:den>
            </m:f>
          </m:e>
        </m:func>
      </m:oMath>
      <w:r>
        <w:t xml:space="preserve"> ;</w:t>
      </w:r>
    </w:p>
    <w:p w14:paraId="6E4D01B6" w14:textId="359AE966" w:rsidR="00AD3D15" w:rsidRDefault="00AD3D15" w:rsidP="00AD3D15">
      <w:r w:rsidRPr="00AD3D15">
        <w:rPr>
          <w:rFonts w:ascii="Cambria Math" w:hAnsi="Cambria Math"/>
          <w:noProof/>
        </w:rPr>
        <w:t xml:space="preserve"> </w:t>
      </w:r>
      <m:oMath>
        <m:r>
          <m:rPr>
            <m:sty m:val="p"/>
          </m:rPr>
          <w:rPr>
            <w:rFonts w:ascii="Cambria Math" w:hAnsi="Cambria Math"/>
            <w:noProof/>
          </w:rPr>
          <w:drawing>
            <wp:inline distT="0" distB="0" distL="0" distR="0" wp14:anchorId="4A7FC046" wp14:editId="3C3BF728">
              <wp:extent cx="3028607" cy="2499750"/>
              <wp:effectExtent l="0" t="0" r="635" b="0"/>
              <wp:docPr id="874040197"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40197" name="Immagine 8740401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8607" cy="2499750"/>
                      </a:xfrm>
                      <a:prstGeom prst="rect">
                        <a:avLst/>
                      </a:prstGeom>
                    </pic:spPr>
                  </pic:pic>
                </a:graphicData>
              </a:graphic>
            </wp:inline>
          </w:drawing>
        </m:r>
      </m:oMath>
      <w:r>
        <w:rPr>
          <w:noProof/>
        </w:rPr>
        <w:drawing>
          <wp:inline distT="0" distB="0" distL="0" distR="0" wp14:anchorId="12F8C0EE" wp14:editId="33ADEBD3">
            <wp:extent cx="3017585" cy="2490651"/>
            <wp:effectExtent l="0" t="0" r="0" b="5080"/>
            <wp:docPr id="51209135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91357" name="Immagine 5120913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19014" cy="2491830"/>
                    </a:xfrm>
                    <a:prstGeom prst="rect">
                      <a:avLst/>
                    </a:prstGeom>
                  </pic:spPr>
                </pic:pic>
              </a:graphicData>
            </a:graphic>
          </wp:inline>
        </w:drawing>
      </w:r>
    </w:p>
    <w:p w14:paraId="156B2D84" w14:textId="77777777" w:rsidR="00D44799" w:rsidRPr="00D44799" w:rsidRDefault="00D44799" w:rsidP="00D44799">
      <w:pPr>
        <w:rPr>
          <w:i/>
          <w:iCs/>
        </w:rPr>
      </w:pPr>
    </w:p>
    <w:p w14:paraId="12F55E12" w14:textId="7340BBA2" w:rsidR="007F57EA" w:rsidRPr="00A453CA" w:rsidRDefault="00A453CA" w:rsidP="00A453CA">
      <w:pPr>
        <w:pStyle w:val="Paragrafoelenco"/>
        <w:numPr>
          <w:ilvl w:val="0"/>
          <w:numId w:val="7"/>
        </w:numPr>
        <w:rPr>
          <w:i/>
          <w:iCs/>
        </w:rPr>
      </w:pPr>
      <w:r w:rsidRPr="00A453CA">
        <w:rPr>
          <w:i/>
          <w:iCs/>
        </w:rPr>
        <w:lastRenderedPageBreak/>
        <w:t>Commenti</w:t>
      </w:r>
    </w:p>
    <w:p w14:paraId="03B2BDC8" w14:textId="77777777" w:rsidR="00A453CA" w:rsidRPr="00A453CA" w:rsidRDefault="00A453CA" w:rsidP="00A453CA">
      <w:r w:rsidRPr="00A453CA">
        <w:t>i. Che cosa hanno in comune le serie storiche?</w:t>
      </w:r>
    </w:p>
    <w:p w14:paraId="7B27502F" w14:textId="77777777" w:rsidR="00A453CA" w:rsidRPr="00A453CA" w:rsidRDefault="00A453CA" w:rsidP="00A453CA">
      <w:r w:rsidRPr="00A453CA">
        <w:t>Analizzando i grafici dei prezzi e dei rendimenti, si notano tre elementi fondamentali comuni a tutti i titoli:</w:t>
      </w:r>
    </w:p>
    <w:p w14:paraId="2E3C138F" w14:textId="047D36C9" w:rsidR="00A453CA" w:rsidRPr="00A453CA" w:rsidRDefault="00A453CA" w:rsidP="00A453CA">
      <w:pPr>
        <w:numPr>
          <w:ilvl w:val="0"/>
          <w:numId w:val="13"/>
        </w:numPr>
      </w:pPr>
      <w:r w:rsidRPr="00A453CA">
        <w:t>Trend di fondo positivo: Nonostante le oscillazioni, tutte le serie mostrano una pendenza positiva nel lungo periodo. Questo riflette la crescita economica generale e l'inflazione monetaria nel decennio 2016-2026.</w:t>
      </w:r>
    </w:p>
    <w:p w14:paraId="51C731C9" w14:textId="58079249" w:rsidR="00A453CA" w:rsidRPr="00A453CA" w:rsidRDefault="00A453CA" w:rsidP="00A453CA">
      <w:pPr>
        <w:numPr>
          <w:ilvl w:val="0"/>
          <w:numId w:val="13"/>
        </w:numPr>
      </w:pPr>
      <w:r w:rsidRPr="00A453CA">
        <w:t>Sincronizzazione degli Shock: Le serie condividono i "punti di rottura</w:t>
      </w:r>
      <w:r>
        <w:t>. I</w:t>
      </w:r>
      <w:r w:rsidRPr="00A453CA">
        <w:t xml:space="preserve"> crolli (marzo 2020, inizio 2022) avvengono nello stesso momento per tutti. Questo dimostra l'esistenza di un </w:t>
      </w:r>
      <w:r>
        <w:t>r</w:t>
      </w:r>
      <w:r w:rsidRPr="00A453CA">
        <w:t xml:space="preserve">ischio </w:t>
      </w:r>
      <w:r>
        <w:t>s</w:t>
      </w:r>
      <w:r w:rsidRPr="00A453CA">
        <w:t>istemico che colpisce l'intero mercato, indipendentemente dal settore.</w:t>
      </w:r>
    </w:p>
    <w:p w14:paraId="2E79F71A" w14:textId="72C7D3A2" w:rsidR="00A453CA" w:rsidRPr="00A453CA" w:rsidRDefault="00A453CA" w:rsidP="00A453CA">
      <w:pPr>
        <w:numPr>
          <w:ilvl w:val="0"/>
          <w:numId w:val="13"/>
        </w:numPr>
      </w:pPr>
      <w:r>
        <w:t>Raggruppamento della volatilità</w:t>
      </w:r>
      <w:r w:rsidRPr="00A453CA">
        <w:t>: Tutte le serie presentano periodi di calma seguiti da periodi di turbolenza. Quando la volatilità aumenta per un titolo, tende ad aumentare contemporaneamente anche per gli altri.</w:t>
      </w:r>
    </w:p>
    <w:p w14:paraId="18097DA9" w14:textId="77777777" w:rsidR="00A453CA" w:rsidRPr="00A453CA" w:rsidRDefault="00A453CA" w:rsidP="00A453CA">
      <w:r w:rsidRPr="00A453CA">
        <w:t>ii. C’è una correlazione positiva fra società dello stesso settore?</w:t>
      </w:r>
    </w:p>
    <w:p w14:paraId="7594A42C" w14:textId="77777777" w:rsidR="00ED4A77" w:rsidRDefault="00ED4A77" w:rsidP="00A453CA">
      <w:r w:rsidRPr="00ED4A77">
        <w:t>Sebbene l'analisi utilizzi dati aggregati (ETF), l'elevata correlazione osservata tra comparti affini (come Tecnologia e Beni di Consumo Ciclici) suggerisce una forte coerenza nei movimenti delle società sottostanti. Il fatto che gli ETF di settore mostrino trend direzionali chiari e non una varianza casuale conferma che le società appartenenti allo stesso ambito industriale reagiscono in modo omogeneo agli stimoli macroeconomici, convalidando l'ipotesi di correlazione positiva intra-settoriale.</w:t>
      </w:r>
    </w:p>
    <w:p w14:paraId="0EAE1BD4" w14:textId="3E4198ED" w:rsidR="00A453CA" w:rsidRPr="00A453CA" w:rsidRDefault="00A453CA" w:rsidP="00A453CA">
      <w:r w:rsidRPr="00A453CA">
        <w:t>iii. Momenti di rendimenti lontani dalla media e notizie</w:t>
      </w:r>
    </w:p>
    <w:p w14:paraId="4A1B3A0C" w14:textId="07C46BBF" w:rsidR="00A453CA" w:rsidRPr="00A453CA" w:rsidRDefault="00A453CA" w:rsidP="00A453CA">
      <w:pPr>
        <w:numPr>
          <w:ilvl w:val="0"/>
          <w:numId w:val="15"/>
        </w:numPr>
      </w:pPr>
      <w:r w:rsidRPr="00A453CA">
        <w:t>Febbraio - Marzo 2020:</w:t>
      </w:r>
    </w:p>
    <w:p w14:paraId="118EC517" w14:textId="77777777" w:rsidR="00A453CA" w:rsidRPr="00A453CA" w:rsidRDefault="00A453CA" w:rsidP="00A453CA">
      <w:pPr>
        <w:numPr>
          <w:ilvl w:val="1"/>
          <w:numId w:val="15"/>
        </w:numPr>
      </w:pPr>
      <w:r w:rsidRPr="00A453CA">
        <w:t>Rendimenti: Fortemente negativi (outlier estremi).</w:t>
      </w:r>
    </w:p>
    <w:p w14:paraId="2D2BB7F5" w14:textId="77777777" w:rsidR="00A453CA" w:rsidRPr="00A453CA" w:rsidRDefault="00A453CA" w:rsidP="00A453CA">
      <w:pPr>
        <w:numPr>
          <w:ilvl w:val="1"/>
          <w:numId w:val="15"/>
        </w:numPr>
      </w:pPr>
      <w:r w:rsidRPr="00A453CA">
        <w:t>Notizia: Lo scoppio della pandemia globale di COVID-19 e i conseguenti lockdown mondiali. È il momento di massima correlazione e volatilità del decennio.</w:t>
      </w:r>
    </w:p>
    <w:p w14:paraId="3820EFA1" w14:textId="05A0BA10" w:rsidR="00A453CA" w:rsidRPr="00A453CA" w:rsidRDefault="00A453CA" w:rsidP="00A453CA">
      <w:pPr>
        <w:numPr>
          <w:ilvl w:val="0"/>
          <w:numId w:val="15"/>
        </w:numPr>
      </w:pPr>
      <w:r w:rsidRPr="00A453CA">
        <w:t>Inizio 2022</w:t>
      </w:r>
      <w:r w:rsidR="00ED4A77">
        <w:t>:</w:t>
      </w:r>
    </w:p>
    <w:p w14:paraId="6295CBE7" w14:textId="77777777" w:rsidR="00A453CA" w:rsidRPr="00A453CA" w:rsidRDefault="00A453CA" w:rsidP="00A453CA">
      <w:pPr>
        <w:numPr>
          <w:ilvl w:val="1"/>
          <w:numId w:val="15"/>
        </w:numPr>
      </w:pPr>
      <w:r w:rsidRPr="00A453CA">
        <w:t>Rendimenti: Negativi per il Tech (XLK), positivi o stabili per l'Energy (XLE).</w:t>
      </w:r>
    </w:p>
    <w:p w14:paraId="27BC43A5" w14:textId="4CFB499C" w:rsidR="00A453CA" w:rsidRPr="00ED4A77" w:rsidRDefault="00A453CA" w:rsidP="00A453CA">
      <w:pPr>
        <w:numPr>
          <w:ilvl w:val="1"/>
          <w:numId w:val="15"/>
        </w:numPr>
      </w:pPr>
      <w:r w:rsidRPr="00ED4A77">
        <w:t>Notizia: L'invasione russa in Ucraina e l'inizio del rialzo dei tassi da parte della FED per contrastare l'inflazione record.</w:t>
      </w:r>
    </w:p>
    <w:p w14:paraId="7C7BEBE7" w14:textId="796F2A14" w:rsidR="00A453CA" w:rsidRPr="00ED4A77" w:rsidRDefault="00A453CA" w:rsidP="00A453CA">
      <w:pPr>
        <w:numPr>
          <w:ilvl w:val="0"/>
          <w:numId w:val="15"/>
        </w:numPr>
      </w:pPr>
      <w:r w:rsidRPr="00ED4A77">
        <w:t>2023 - 202</w:t>
      </w:r>
      <w:r w:rsidR="00ED4A77">
        <w:t>4</w:t>
      </w:r>
      <w:r w:rsidRPr="00ED4A77">
        <w:t>:</w:t>
      </w:r>
    </w:p>
    <w:p w14:paraId="3915EA64" w14:textId="77777777" w:rsidR="00A453CA" w:rsidRPr="00ED4A77" w:rsidRDefault="00A453CA" w:rsidP="00A453CA">
      <w:pPr>
        <w:numPr>
          <w:ilvl w:val="1"/>
          <w:numId w:val="15"/>
        </w:numPr>
      </w:pPr>
      <w:r w:rsidRPr="00ED4A77">
        <w:t>Rendimenti: Outlier positivi concentrati in XLK.</w:t>
      </w:r>
    </w:p>
    <w:p w14:paraId="18CDC058" w14:textId="77777777" w:rsidR="00A453CA" w:rsidRDefault="00A453CA" w:rsidP="00A453CA">
      <w:pPr>
        <w:numPr>
          <w:ilvl w:val="1"/>
          <w:numId w:val="15"/>
        </w:numPr>
      </w:pPr>
      <w:r w:rsidRPr="00ED4A77">
        <w:t>Notizia: L'esplosione dell'Intelligenza Artificiale Generativa (lancio di ChatGPT e trimestrali record di NVIDIA).</w:t>
      </w:r>
    </w:p>
    <w:p w14:paraId="4395A797" w14:textId="123CD00E" w:rsidR="00ED4A77" w:rsidRDefault="00ED4A77" w:rsidP="00ED4A77">
      <w:pPr>
        <w:numPr>
          <w:ilvl w:val="0"/>
          <w:numId w:val="15"/>
        </w:numPr>
      </w:pPr>
      <w:r>
        <w:t>Inizio 2025:</w:t>
      </w:r>
    </w:p>
    <w:p w14:paraId="0E5D7E00" w14:textId="1DACB3DC" w:rsidR="00ED4A77" w:rsidRDefault="00ED4A77" w:rsidP="00ED4A77">
      <w:pPr>
        <w:numPr>
          <w:ilvl w:val="1"/>
          <w:numId w:val="15"/>
        </w:numPr>
      </w:pPr>
      <w:r>
        <w:t>Rendimenti:</w:t>
      </w:r>
      <w:r w:rsidRPr="00ED4A77">
        <w:t xml:space="preserve"> outlier positivi per le industrie domestiche e incertezza per i settori dipendenti dalle supply chain globali</w:t>
      </w:r>
      <w:r>
        <w:t>.</w:t>
      </w:r>
    </w:p>
    <w:p w14:paraId="0C92BA06" w14:textId="0CBF3FE6" w:rsidR="00A453CA" w:rsidRDefault="00ED4A77" w:rsidP="00A453CA">
      <w:pPr>
        <w:numPr>
          <w:ilvl w:val="1"/>
          <w:numId w:val="15"/>
        </w:numPr>
      </w:pPr>
      <w:r>
        <w:t xml:space="preserve">Notizia: </w:t>
      </w:r>
      <w:r w:rsidRPr="00ED4A77">
        <w:t>L'entrata in carica della nuova presidenza negli Stati Uniti ha portato a speculazioni su nuovi dazi commerciali e cambiamenti nelle politiche sui sussidi per l'energia verde.</w:t>
      </w:r>
    </w:p>
    <w:p w14:paraId="73174778" w14:textId="753860AA" w:rsidR="00461B52" w:rsidRPr="00461B52" w:rsidRDefault="00461B52" w:rsidP="00461B52">
      <w:pPr>
        <w:pStyle w:val="Paragrafoelenco"/>
        <w:numPr>
          <w:ilvl w:val="0"/>
          <w:numId w:val="7"/>
        </w:numPr>
        <w:rPr>
          <w:i/>
          <w:iCs/>
        </w:rPr>
      </w:pPr>
      <w:r w:rsidRPr="00461B52">
        <w:rPr>
          <w:i/>
          <w:iCs/>
        </w:rPr>
        <w:lastRenderedPageBreak/>
        <w:t>Creare grafici diagnostici a tre sezioni (istogramma e kernel density, boxplot, qq-plot) per ciascuna serie di rendimenti e commentare</w:t>
      </w:r>
    </w:p>
    <w:p w14:paraId="6B7D8D92" w14:textId="25B23AFB" w:rsidR="00461B52" w:rsidRPr="00461B52" w:rsidRDefault="00461B52" w:rsidP="00461B52">
      <w:r w:rsidRPr="00461B52">
        <w:t>Descrizione degli strumenti diagnostici</w:t>
      </w:r>
    </w:p>
    <w:p w14:paraId="4AACFE71" w14:textId="77777777" w:rsidR="00461B52" w:rsidRPr="00461B52" w:rsidRDefault="00461B52" w:rsidP="00461B52">
      <w:pPr>
        <w:numPr>
          <w:ilvl w:val="0"/>
          <w:numId w:val="16"/>
        </w:numPr>
      </w:pPr>
      <w:r w:rsidRPr="00461B52">
        <w:t>Istogramma e Kernel Density (KDE): Permette di visualizzare la forma della distribuzione. La curva KDE (la linea continua) viene confrontata con la curva teorica della Normale (campana di Gauss).</w:t>
      </w:r>
    </w:p>
    <w:p w14:paraId="69AA1E2C" w14:textId="77777777" w:rsidR="00461B52" w:rsidRPr="00461B52" w:rsidRDefault="00461B52" w:rsidP="00461B52">
      <w:pPr>
        <w:numPr>
          <w:ilvl w:val="0"/>
          <w:numId w:val="16"/>
        </w:numPr>
      </w:pPr>
      <w:r w:rsidRPr="00461B52">
        <w:t>Boxplot: Focalizza l'attenzione sulla dispersione e sulla presenza di valori estremi. La "scatola" rappresenta il 50% dei dati centrali, mentre i punti isolati oltre i "baffi" indicano gli outlier.</w:t>
      </w:r>
    </w:p>
    <w:p w14:paraId="3E54781E" w14:textId="77777777" w:rsidR="00461B52" w:rsidRPr="00461B52" w:rsidRDefault="00461B52" w:rsidP="00461B52">
      <w:pPr>
        <w:numPr>
          <w:ilvl w:val="0"/>
          <w:numId w:val="16"/>
        </w:numPr>
      </w:pPr>
      <w:r w:rsidRPr="00461B52">
        <w:t>QQ-Plot (Quantile-Quantile Plot): È il test visivo più severo per la normalità. Se i punti deviano dalla linea retta a 45°, la distribuzione non è normale.</w:t>
      </w:r>
    </w:p>
    <w:p w14:paraId="43A963B5" w14:textId="77777777" w:rsidR="00461B52" w:rsidRDefault="00461B52" w:rsidP="00461B52"/>
    <w:p w14:paraId="003F4FD9" w14:textId="5AE1EA61" w:rsidR="00461B52" w:rsidRPr="00A453CA" w:rsidRDefault="00461B52" w:rsidP="00461B52">
      <w:r>
        <w:rPr>
          <w:noProof/>
        </w:rPr>
        <w:drawing>
          <wp:inline distT="0" distB="0" distL="0" distR="0" wp14:anchorId="63C1DE93" wp14:editId="5BDF176B">
            <wp:extent cx="6019800" cy="1648918"/>
            <wp:effectExtent l="0" t="0" r="0" b="8890"/>
            <wp:docPr id="1506789268"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89268" name="Immagine 15067892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74945" cy="1664023"/>
                    </a:xfrm>
                    <a:prstGeom prst="rect">
                      <a:avLst/>
                    </a:prstGeom>
                  </pic:spPr>
                </pic:pic>
              </a:graphicData>
            </a:graphic>
          </wp:inline>
        </w:drawing>
      </w:r>
      <w:r>
        <w:rPr>
          <w:noProof/>
        </w:rPr>
        <w:drawing>
          <wp:inline distT="0" distB="0" distL="0" distR="0" wp14:anchorId="52E41528" wp14:editId="43883827">
            <wp:extent cx="6036733" cy="1653556"/>
            <wp:effectExtent l="0" t="0" r="2540" b="3810"/>
            <wp:docPr id="1884105364"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05364" name="Immagine 18841053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67732" cy="1662047"/>
                    </a:xfrm>
                    <a:prstGeom prst="rect">
                      <a:avLst/>
                    </a:prstGeom>
                  </pic:spPr>
                </pic:pic>
              </a:graphicData>
            </a:graphic>
          </wp:inline>
        </w:drawing>
      </w:r>
      <w:r w:rsidR="00085348">
        <w:rPr>
          <w:noProof/>
        </w:rPr>
        <w:drawing>
          <wp:inline distT="0" distB="0" distL="0" distR="0" wp14:anchorId="27E98227" wp14:editId="21FB5F6A">
            <wp:extent cx="6120130" cy="1675130"/>
            <wp:effectExtent l="0" t="0" r="0" b="1270"/>
            <wp:docPr id="629118011"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18011" name="Immagine 6291180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1675130"/>
                    </a:xfrm>
                    <a:prstGeom prst="rect">
                      <a:avLst/>
                    </a:prstGeom>
                  </pic:spPr>
                </pic:pic>
              </a:graphicData>
            </a:graphic>
          </wp:inline>
        </w:drawing>
      </w:r>
      <w:r>
        <w:rPr>
          <w:noProof/>
        </w:rPr>
        <w:lastRenderedPageBreak/>
        <w:drawing>
          <wp:inline distT="0" distB="0" distL="0" distR="0" wp14:anchorId="1ADD2DC4" wp14:editId="63E9F8D1">
            <wp:extent cx="6036310" cy="1653441"/>
            <wp:effectExtent l="0" t="0" r="2540" b="4445"/>
            <wp:docPr id="1939666399"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66399" name="Immagine 193966639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94460" cy="1669369"/>
                    </a:xfrm>
                    <a:prstGeom prst="rect">
                      <a:avLst/>
                    </a:prstGeom>
                  </pic:spPr>
                </pic:pic>
              </a:graphicData>
            </a:graphic>
          </wp:inline>
        </w:drawing>
      </w:r>
      <w:r>
        <w:rPr>
          <w:noProof/>
        </w:rPr>
        <w:drawing>
          <wp:inline distT="0" distB="0" distL="0" distR="0" wp14:anchorId="1547BDD5" wp14:editId="0F66557B">
            <wp:extent cx="6120130" cy="1676400"/>
            <wp:effectExtent l="0" t="0" r="0" b="0"/>
            <wp:docPr id="1507073771"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73771" name="Immagine 15070737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1676400"/>
                    </a:xfrm>
                    <a:prstGeom prst="rect">
                      <a:avLst/>
                    </a:prstGeom>
                  </pic:spPr>
                </pic:pic>
              </a:graphicData>
            </a:graphic>
          </wp:inline>
        </w:drawing>
      </w:r>
    </w:p>
    <w:p w14:paraId="3BD4A0C9" w14:textId="2CB9818E" w:rsidR="00A453CA" w:rsidRDefault="00461B52" w:rsidP="00A453CA">
      <w:r>
        <w:rPr>
          <w:noProof/>
        </w:rPr>
        <w:drawing>
          <wp:inline distT="0" distB="0" distL="0" distR="0" wp14:anchorId="63ABEC11" wp14:editId="7DB7CDFD">
            <wp:extent cx="6120130" cy="1676400"/>
            <wp:effectExtent l="0" t="0" r="0" b="0"/>
            <wp:docPr id="1283836686"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36686" name="Immagine 12838366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1676400"/>
                    </a:xfrm>
                    <a:prstGeom prst="rect">
                      <a:avLst/>
                    </a:prstGeom>
                  </pic:spPr>
                </pic:pic>
              </a:graphicData>
            </a:graphic>
          </wp:inline>
        </w:drawing>
      </w:r>
    </w:p>
    <w:p w14:paraId="087A81F2" w14:textId="77777777" w:rsidR="00461B52" w:rsidRPr="00461B52" w:rsidRDefault="00461B52" w:rsidP="00461B52">
      <w:r w:rsidRPr="00461B52">
        <w:t>Dall'analisi dei grafici prodotti, emergono tre considerazioni fondamentali comuni a quasi tutti gli ETF:</w:t>
      </w:r>
    </w:p>
    <w:p w14:paraId="5ED7D776" w14:textId="309944AD" w:rsidR="00461B52" w:rsidRPr="00461B52" w:rsidRDefault="00461B52" w:rsidP="00461B52">
      <w:r w:rsidRPr="00461B52">
        <w:t>i. Differenze nella dispersione</w:t>
      </w:r>
    </w:p>
    <w:p w14:paraId="1971ACB3" w14:textId="77777777" w:rsidR="00461B52" w:rsidRPr="00461B52" w:rsidRDefault="00461B52" w:rsidP="00461B52">
      <w:r w:rsidRPr="00461B52">
        <w:t>Si notano differenze marcate nella larghezza delle distribuzioni:</w:t>
      </w:r>
    </w:p>
    <w:p w14:paraId="38FB18E8" w14:textId="322104DA" w:rsidR="00461B52" w:rsidRPr="00461B52" w:rsidRDefault="00461B52" w:rsidP="00461B52">
      <w:pPr>
        <w:numPr>
          <w:ilvl w:val="0"/>
          <w:numId w:val="17"/>
        </w:numPr>
      </w:pPr>
      <w:r w:rsidRPr="00461B52">
        <w:t>Settori ad alta dispersione (es. XLK, XLE): Gli istogrammi sono più larghi e i boxplot hanno baffi più estesi. Questo indica una maggiore volatilità e un rischio più elevato.</w:t>
      </w:r>
    </w:p>
    <w:p w14:paraId="13F759DF" w14:textId="73DF63D1" w:rsidR="00461B52" w:rsidRPr="00461B52" w:rsidRDefault="00461B52" w:rsidP="00461B52">
      <w:pPr>
        <w:numPr>
          <w:ilvl w:val="0"/>
          <w:numId w:val="17"/>
        </w:numPr>
      </w:pPr>
      <w:r w:rsidRPr="00461B52">
        <w:t>Settori a bassa dispersione (es. XLV): La distribuzione è più stretta e appuntita attorno allo zero, confermando la natura difensiva del settore sanitario.</w:t>
      </w:r>
    </w:p>
    <w:p w14:paraId="133F6E78" w14:textId="07FEBE71" w:rsidR="00461B52" w:rsidRPr="00461B52" w:rsidRDefault="00461B52" w:rsidP="00461B52">
      <w:r w:rsidRPr="00461B52">
        <w:t>ii. Test di Normalità</w:t>
      </w:r>
    </w:p>
    <w:p w14:paraId="037DBCC0" w14:textId="44F72331" w:rsidR="00461B52" w:rsidRPr="00461B52" w:rsidRDefault="00461B52" w:rsidP="00461B52">
      <w:r w:rsidRPr="00461B52">
        <w:t>Nonostante la forma a campana, i rendimenti mostrano due fenomeni tipici delle serie storiche finanziarie:</w:t>
      </w:r>
    </w:p>
    <w:p w14:paraId="09BECC59" w14:textId="77777777" w:rsidR="00461B52" w:rsidRPr="00461B52" w:rsidRDefault="00461B52" w:rsidP="00461B52">
      <w:pPr>
        <w:numPr>
          <w:ilvl w:val="0"/>
          <w:numId w:val="18"/>
        </w:numPr>
      </w:pPr>
      <w:r w:rsidRPr="00461B52">
        <w:t>Leptocurtosi (Fat Tails): Nel QQ-Plot, i punti alle estremità (code) si staccano drasticamente dalla linea retta, formando una "S". Questo significa che gli eventi estremi capitano molto più spesso di quanto previsto dalla statistica classica.</w:t>
      </w:r>
    </w:p>
    <w:p w14:paraId="77B22774" w14:textId="77777777" w:rsidR="00461B52" w:rsidRPr="00461B52" w:rsidRDefault="00461B52" w:rsidP="00461B52">
      <w:pPr>
        <w:numPr>
          <w:ilvl w:val="0"/>
          <w:numId w:val="18"/>
        </w:numPr>
      </w:pPr>
      <w:r w:rsidRPr="00461B52">
        <w:t>Picco elevato: La KDE è più alta e stretta rispetto a una normale perfetta, indicando che molti giorni hanno variazioni minime, ma i pochi giorni di crisi sono violentissimi.</w:t>
      </w:r>
    </w:p>
    <w:p w14:paraId="08A08508" w14:textId="77777777" w:rsidR="00461B52" w:rsidRPr="00461B52" w:rsidRDefault="00461B52" w:rsidP="00461B52">
      <w:r w:rsidRPr="00461B52">
        <w:lastRenderedPageBreak/>
        <w:t>iii. Presenza di Outlier</w:t>
      </w:r>
    </w:p>
    <w:p w14:paraId="111C2900" w14:textId="5C055138" w:rsidR="00461B52" w:rsidRPr="00461B52" w:rsidRDefault="00461B52" w:rsidP="00461B52">
      <w:r w:rsidRPr="00461B52">
        <w:t>Il Boxplot rivela una presenza massiccia di outlier, rappresentati come cerchietti oltre i baffi:</w:t>
      </w:r>
    </w:p>
    <w:p w14:paraId="005D951C" w14:textId="374EE0D9" w:rsidR="00461B52" w:rsidRPr="00461B52" w:rsidRDefault="00461B52" w:rsidP="00461B52">
      <w:pPr>
        <w:numPr>
          <w:ilvl w:val="0"/>
          <w:numId w:val="19"/>
        </w:numPr>
      </w:pPr>
      <w:r w:rsidRPr="00461B52">
        <w:t>Outlier Negativi: Sono i più numerosi e distanti. Rappresentano i giorni di panic selling (es. Marzo 2020 o le correzioni del 2022/2025).</w:t>
      </w:r>
    </w:p>
    <w:p w14:paraId="212DF7D0" w14:textId="28D38B0E" w:rsidR="00461B52" w:rsidRPr="00461B52" w:rsidRDefault="00461B52" w:rsidP="00461B52">
      <w:pPr>
        <w:numPr>
          <w:ilvl w:val="0"/>
          <w:numId w:val="19"/>
        </w:numPr>
      </w:pPr>
      <w:r w:rsidRPr="00461B52">
        <w:t>Outlier Positivi: Sebbene presenti, sono spesso meno estremi di quelli negativi, confermando l'asimmetria negativa dei mercati azionari.</w:t>
      </w:r>
    </w:p>
    <w:p w14:paraId="47447B3F" w14:textId="3C58EB35" w:rsidR="00461B52" w:rsidRPr="00461B52" w:rsidRDefault="00085348" w:rsidP="00461B52">
      <w:r>
        <w:t>In conclusione, l</w:t>
      </w:r>
      <w:r w:rsidR="00461B52" w:rsidRPr="00461B52">
        <w:t>'analisi diagnostica conferma che i rendimenti degli ETF selezionati non sono distribuiti normalmente. La presenza di 'code grasse' (osservabili nel QQ-Plot) e di numerosi outlier (evidenziati nei Boxplot) suggerisce che i modelli che assumono la normalità dei dati potrebbero sottostimare il rischio di perdite estreme. In particolare, il settore Tecnologico (XLK) e quello Energetico (XLE) mostrano la dispersione più elevata, mentre il settore Sanitario (XLV) si conferma il più stabile, pur non essendo immune da shock sistemici.</w:t>
      </w:r>
    </w:p>
    <w:p w14:paraId="53A4D4AB" w14:textId="77777777" w:rsidR="001D310A" w:rsidRDefault="001D310A" w:rsidP="007F57EA"/>
    <w:p w14:paraId="6271BF03" w14:textId="0D5428BB" w:rsidR="00085348" w:rsidRPr="00085348" w:rsidRDefault="00085348" w:rsidP="00085348">
      <w:pPr>
        <w:pStyle w:val="Paragrafoelenco"/>
        <w:numPr>
          <w:ilvl w:val="0"/>
          <w:numId w:val="7"/>
        </w:numPr>
        <w:rPr>
          <w:i/>
          <w:iCs/>
        </w:rPr>
      </w:pPr>
      <w:r w:rsidRPr="00085348">
        <w:rPr>
          <w:i/>
          <w:iCs/>
        </w:rPr>
        <w:t>Calcolare statistiche descrittive univariate annualizzate per ogni serie di rendimenti e commentare</w:t>
      </w:r>
    </w:p>
    <w:tbl>
      <w:tblPr>
        <w:tblStyle w:val="Grigliatabella"/>
        <w:tblW w:w="0" w:type="auto"/>
        <w:tblInd w:w="-289" w:type="dxa"/>
        <w:tblLook w:val="04A0" w:firstRow="1" w:lastRow="0" w:firstColumn="1" w:lastColumn="0" w:noHBand="0" w:noVBand="1"/>
      </w:tblPr>
      <w:tblGrid>
        <w:gridCol w:w="1277"/>
        <w:gridCol w:w="1984"/>
        <w:gridCol w:w="1985"/>
        <w:gridCol w:w="1701"/>
        <w:gridCol w:w="1397"/>
        <w:gridCol w:w="1573"/>
      </w:tblGrid>
      <w:tr w:rsidR="00085348" w14:paraId="589AB2E6" w14:textId="77777777" w:rsidTr="008578D6">
        <w:trPr>
          <w:trHeight w:val="478"/>
        </w:trPr>
        <w:tc>
          <w:tcPr>
            <w:tcW w:w="1277" w:type="dxa"/>
          </w:tcPr>
          <w:p w14:paraId="1F5648C6" w14:textId="3E62BBF2" w:rsidR="00085348" w:rsidRPr="00085348" w:rsidRDefault="00085348" w:rsidP="007F57EA">
            <w:pPr>
              <w:rPr>
                <w:b/>
                <w:bCs/>
              </w:rPr>
            </w:pPr>
            <w:r w:rsidRPr="00085348">
              <w:rPr>
                <w:b/>
                <w:bCs/>
              </w:rPr>
              <w:t>Ticker</w:t>
            </w:r>
          </w:p>
        </w:tc>
        <w:tc>
          <w:tcPr>
            <w:tcW w:w="1984" w:type="dxa"/>
          </w:tcPr>
          <w:p w14:paraId="4C328FB9" w14:textId="21D56011" w:rsidR="00085348" w:rsidRPr="00085348" w:rsidRDefault="00085348" w:rsidP="007F57EA">
            <w:pPr>
              <w:rPr>
                <w:b/>
                <w:bCs/>
              </w:rPr>
            </w:pPr>
            <w:r w:rsidRPr="00085348">
              <w:rPr>
                <w:b/>
                <w:bCs/>
              </w:rPr>
              <w:t>Media Ann. (%)</w:t>
            </w:r>
          </w:p>
        </w:tc>
        <w:tc>
          <w:tcPr>
            <w:tcW w:w="1985" w:type="dxa"/>
          </w:tcPr>
          <w:p w14:paraId="4AC08419" w14:textId="6F01D6F1" w:rsidR="00085348" w:rsidRPr="00085348" w:rsidRDefault="00085348" w:rsidP="008578D6">
            <w:pPr>
              <w:rPr>
                <w:b/>
                <w:bCs/>
              </w:rPr>
            </w:pPr>
            <w:r w:rsidRPr="00085348">
              <w:rPr>
                <w:b/>
                <w:bCs/>
              </w:rPr>
              <w:t>Volatilità Ann. (%)</w:t>
            </w:r>
          </w:p>
        </w:tc>
        <w:tc>
          <w:tcPr>
            <w:tcW w:w="1701" w:type="dxa"/>
          </w:tcPr>
          <w:p w14:paraId="56988F65" w14:textId="126ADD22" w:rsidR="00085348" w:rsidRPr="00085348" w:rsidRDefault="00085348" w:rsidP="007F57EA">
            <w:pPr>
              <w:rPr>
                <w:b/>
                <w:bCs/>
              </w:rPr>
            </w:pPr>
            <w:r w:rsidRPr="00085348">
              <w:rPr>
                <w:b/>
                <w:bCs/>
              </w:rPr>
              <w:t>Varianza Ann.</w:t>
            </w:r>
          </w:p>
        </w:tc>
        <w:tc>
          <w:tcPr>
            <w:tcW w:w="1397" w:type="dxa"/>
          </w:tcPr>
          <w:p w14:paraId="35C1E724" w14:textId="5369FDFF" w:rsidR="00085348" w:rsidRPr="00085348" w:rsidRDefault="00085348" w:rsidP="007F57EA">
            <w:pPr>
              <w:rPr>
                <w:b/>
                <w:bCs/>
              </w:rPr>
            </w:pPr>
            <w:r w:rsidRPr="00085348">
              <w:rPr>
                <w:b/>
                <w:bCs/>
              </w:rPr>
              <w:t>Asimmetria</w:t>
            </w:r>
          </w:p>
        </w:tc>
        <w:tc>
          <w:tcPr>
            <w:tcW w:w="1573" w:type="dxa"/>
          </w:tcPr>
          <w:p w14:paraId="6ACD148F" w14:textId="07BA8213" w:rsidR="00085348" w:rsidRPr="00085348" w:rsidRDefault="00085348" w:rsidP="007F57EA">
            <w:pPr>
              <w:rPr>
                <w:b/>
                <w:bCs/>
              </w:rPr>
            </w:pPr>
            <w:r w:rsidRPr="00085348">
              <w:rPr>
                <w:b/>
                <w:bCs/>
              </w:rPr>
              <w:t>Curtosi</w:t>
            </w:r>
          </w:p>
        </w:tc>
      </w:tr>
      <w:tr w:rsidR="00085348" w14:paraId="17CF34DD" w14:textId="77777777" w:rsidTr="008578D6">
        <w:tc>
          <w:tcPr>
            <w:tcW w:w="1277" w:type="dxa"/>
          </w:tcPr>
          <w:p w14:paraId="41CE129F" w14:textId="3F079BBD" w:rsidR="00085348" w:rsidRPr="00085348" w:rsidRDefault="00085348" w:rsidP="007F57EA">
            <w:pPr>
              <w:rPr>
                <w:b/>
                <w:bCs/>
              </w:rPr>
            </w:pPr>
            <w:r w:rsidRPr="00085348">
              <w:rPr>
                <w:b/>
                <w:bCs/>
              </w:rPr>
              <w:t>XLF</w:t>
            </w:r>
          </w:p>
        </w:tc>
        <w:tc>
          <w:tcPr>
            <w:tcW w:w="1984" w:type="dxa"/>
          </w:tcPr>
          <w:p w14:paraId="19AD3B46" w14:textId="656D3898" w:rsidR="00085348" w:rsidRDefault="008578D6" w:rsidP="007F57EA">
            <w:r>
              <w:t>11.631</w:t>
            </w:r>
          </w:p>
        </w:tc>
        <w:tc>
          <w:tcPr>
            <w:tcW w:w="1985" w:type="dxa"/>
          </w:tcPr>
          <w:p w14:paraId="25C7BA48" w14:textId="354F44BD" w:rsidR="00085348" w:rsidRDefault="008578D6" w:rsidP="007F57EA">
            <w:r>
              <w:t>22.241</w:t>
            </w:r>
          </w:p>
        </w:tc>
        <w:tc>
          <w:tcPr>
            <w:tcW w:w="1701" w:type="dxa"/>
          </w:tcPr>
          <w:p w14:paraId="7A422B6D" w14:textId="3791EA16" w:rsidR="00085348" w:rsidRDefault="008578D6" w:rsidP="007F57EA">
            <w:r>
              <w:t>0.049</w:t>
            </w:r>
          </w:p>
        </w:tc>
        <w:tc>
          <w:tcPr>
            <w:tcW w:w="1397" w:type="dxa"/>
          </w:tcPr>
          <w:p w14:paraId="5788FB8B" w14:textId="30D88FE8" w:rsidR="00085348" w:rsidRDefault="008578D6" w:rsidP="007F57EA">
            <w:r>
              <w:t>-0.603</w:t>
            </w:r>
          </w:p>
        </w:tc>
        <w:tc>
          <w:tcPr>
            <w:tcW w:w="1573" w:type="dxa"/>
          </w:tcPr>
          <w:p w14:paraId="3D26E295" w14:textId="3084A996" w:rsidR="00085348" w:rsidRDefault="008578D6" w:rsidP="007F57EA">
            <w:r>
              <w:t>15,869</w:t>
            </w:r>
          </w:p>
        </w:tc>
      </w:tr>
      <w:tr w:rsidR="00085348" w14:paraId="290D8B9C" w14:textId="77777777" w:rsidTr="008578D6">
        <w:tc>
          <w:tcPr>
            <w:tcW w:w="1277" w:type="dxa"/>
          </w:tcPr>
          <w:p w14:paraId="032BC7BF" w14:textId="28283D03" w:rsidR="00085348" w:rsidRPr="00085348" w:rsidRDefault="00085348" w:rsidP="007F57EA">
            <w:pPr>
              <w:rPr>
                <w:b/>
                <w:bCs/>
              </w:rPr>
            </w:pPr>
            <w:r w:rsidRPr="00085348">
              <w:rPr>
                <w:b/>
                <w:bCs/>
              </w:rPr>
              <w:t>XLK</w:t>
            </w:r>
          </w:p>
        </w:tc>
        <w:tc>
          <w:tcPr>
            <w:tcW w:w="1984" w:type="dxa"/>
          </w:tcPr>
          <w:p w14:paraId="419AAC79" w14:textId="7B646EA6" w:rsidR="00085348" w:rsidRDefault="008578D6" w:rsidP="007F57EA">
            <w:r w:rsidRPr="000C152C">
              <w:rPr>
                <w:highlight w:val="green"/>
              </w:rPr>
              <w:t>18.629</w:t>
            </w:r>
          </w:p>
        </w:tc>
        <w:tc>
          <w:tcPr>
            <w:tcW w:w="1985" w:type="dxa"/>
          </w:tcPr>
          <w:p w14:paraId="65D77FBD" w14:textId="5F3D444A" w:rsidR="00085348" w:rsidRDefault="008578D6" w:rsidP="007F57EA">
            <w:r>
              <w:t>24.317</w:t>
            </w:r>
          </w:p>
        </w:tc>
        <w:tc>
          <w:tcPr>
            <w:tcW w:w="1701" w:type="dxa"/>
          </w:tcPr>
          <w:p w14:paraId="174C6814" w14:textId="6DBF9AB0" w:rsidR="00085348" w:rsidRDefault="008578D6" w:rsidP="007F57EA">
            <w:r>
              <w:t>0.059</w:t>
            </w:r>
          </w:p>
        </w:tc>
        <w:tc>
          <w:tcPr>
            <w:tcW w:w="1397" w:type="dxa"/>
          </w:tcPr>
          <w:p w14:paraId="694188C0" w14:textId="3A246A94" w:rsidR="00085348" w:rsidRPr="000C152C" w:rsidRDefault="008578D6" w:rsidP="007F57EA">
            <w:pPr>
              <w:rPr>
                <w:highlight w:val="green"/>
              </w:rPr>
            </w:pPr>
            <w:r w:rsidRPr="000C152C">
              <w:rPr>
                <w:highlight w:val="green"/>
              </w:rPr>
              <w:t>-0.312</w:t>
            </w:r>
          </w:p>
        </w:tc>
        <w:tc>
          <w:tcPr>
            <w:tcW w:w="1573" w:type="dxa"/>
          </w:tcPr>
          <w:p w14:paraId="12282484" w14:textId="5B2F203A" w:rsidR="00085348" w:rsidRDefault="008578D6" w:rsidP="007F57EA">
            <w:r>
              <w:t>9.711</w:t>
            </w:r>
          </w:p>
        </w:tc>
      </w:tr>
      <w:tr w:rsidR="00085348" w14:paraId="4830705A" w14:textId="77777777" w:rsidTr="008578D6">
        <w:tc>
          <w:tcPr>
            <w:tcW w:w="1277" w:type="dxa"/>
          </w:tcPr>
          <w:p w14:paraId="07B1A73B" w14:textId="211D2669" w:rsidR="00085348" w:rsidRPr="00085348" w:rsidRDefault="00085348" w:rsidP="007F57EA">
            <w:pPr>
              <w:rPr>
                <w:b/>
                <w:bCs/>
              </w:rPr>
            </w:pPr>
            <w:r w:rsidRPr="00085348">
              <w:rPr>
                <w:b/>
                <w:bCs/>
              </w:rPr>
              <w:t>XLV</w:t>
            </w:r>
          </w:p>
        </w:tc>
        <w:tc>
          <w:tcPr>
            <w:tcW w:w="1984" w:type="dxa"/>
          </w:tcPr>
          <w:p w14:paraId="456947D1" w14:textId="12C5DCD8" w:rsidR="00085348" w:rsidRPr="000C152C" w:rsidRDefault="008578D6" w:rsidP="007F57EA">
            <w:pPr>
              <w:rPr>
                <w:highlight w:val="red"/>
              </w:rPr>
            </w:pPr>
            <w:r w:rsidRPr="000C152C">
              <w:rPr>
                <w:color w:val="000000" w:themeColor="text1"/>
                <w:highlight w:val="red"/>
              </w:rPr>
              <w:t>9.219</w:t>
            </w:r>
          </w:p>
        </w:tc>
        <w:tc>
          <w:tcPr>
            <w:tcW w:w="1985" w:type="dxa"/>
          </w:tcPr>
          <w:p w14:paraId="72F4FE68" w14:textId="6F080619" w:rsidR="00085348" w:rsidRDefault="008578D6" w:rsidP="007F57EA">
            <w:r w:rsidRPr="000C152C">
              <w:rPr>
                <w:highlight w:val="red"/>
              </w:rPr>
              <w:t>16.549</w:t>
            </w:r>
          </w:p>
        </w:tc>
        <w:tc>
          <w:tcPr>
            <w:tcW w:w="1701" w:type="dxa"/>
          </w:tcPr>
          <w:p w14:paraId="3BD0C1AF" w14:textId="14E7DEAB" w:rsidR="00085348" w:rsidRDefault="008578D6" w:rsidP="007F57EA">
            <w:r w:rsidRPr="000C152C">
              <w:rPr>
                <w:highlight w:val="red"/>
              </w:rPr>
              <w:t>0.027</w:t>
            </w:r>
          </w:p>
        </w:tc>
        <w:tc>
          <w:tcPr>
            <w:tcW w:w="1397" w:type="dxa"/>
          </w:tcPr>
          <w:p w14:paraId="52A3319C" w14:textId="4E7C43DB" w:rsidR="00085348" w:rsidRDefault="008578D6" w:rsidP="007F57EA">
            <w:r>
              <w:t>-0.426</w:t>
            </w:r>
          </w:p>
        </w:tc>
        <w:tc>
          <w:tcPr>
            <w:tcW w:w="1573" w:type="dxa"/>
          </w:tcPr>
          <w:p w14:paraId="59B3221C" w14:textId="497855BA" w:rsidR="00085348" w:rsidRDefault="008578D6" w:rsidP="007F57EA">
            <w:r>
              <w:t>10.319</w:t>
            </w:r>
          </w:p>
        </w:tc>
      </w:tr>
      <w:tr w:rsidR="00085348" w14:paraId="2856B00B" w14:textId="77777777" w:rsidTr="008578D6">
        <w:tc>
          <w:tcPr>
            <w:tcW w:w="1277" w:type="dxa"/>
          </w:tcPr>
          <w:p w14:paraId="055300EB" w14:textId="37806B4F" w:rsidR="00085348" w:rsidRPr="00085348" w:rsidRDefault="00085348" w:rsidP="007F57EA">
            <w:pPr>
              <w:rPr>
                <w:b/>
                <w:bCs/>
              </w:rPr>
            </w:pPr>
            <w:r w:rsidRPr="00085348">
              <w:rPr>
                <w:b/>
                <w:bCs/>
              </w:rPr>
              <w:t>XLE</w:t>
            </w:r>
          </w:p>
        </w:tc>
        <w:tc>
          <w:tcPr>
            <w:tcW w:w="1984" w:type="dxa"/>
          </w:tcPr>
          <w:p w14:paraId="5C56F124" w14:textId="7B545715" w:rsidR="00085348" w:rsidRDefault="008578D6" w:rsidP="007F57EA">
            <w:r>
              <w:t>11.029</w:t>
            </w:r>
          </w:p>
        </w:tc>
        <w:tc>
          <w:tcPr>
            <w:tcW w:w="1985" w:type="dxa"/>
          </w:tcPr>
          <w:p w14:paraId="0E6DCDA5" w14:textId="5B47C5CE" w:rsidR="00085348" w:rsidRDefault="008578D6" w:rsidP="007F57EA">
            <w:r w:rsidRPr="000C152C">
              <w:rPr>
                <w:highlight w:val="green"/>
              </w:rPr>
              <w:t>29.681</w:t>
            </w:r>
          </w:p>
        </w:tc>
        <w:tc>
          <w:tcPr>
            <w:tcW w:w="1701" w:type="dxa"/>
          </w:tcPr>
          <w:p w14:paraId="2576E512" w14:textId="50BBED2D" w:rsidR="00085348" w:rsidRDefault="008578D6" w:rsidP="007F57EA">
            <w:r w:rsidRPr="000C152C">
              <w:rPr>
                <w:highlight w:val="green"/>
              </w:rPr>
              <w:t>0.088</w:t>
            </w:r>
          </w:p>
        </w:tc>
        <w:tc>
          <w:tcPr>
            <w:tcW w:w="1397" w:type="dxa"/>
          </w:tcPr>
          <w:p w14:paraId="5D3EAADF" w14:textId="1730BB7B" w:rsidR="00085348" w:rsidRPr="000C152C" w:rsidRDefault="008578D6" w:rsidP="007F57EA">
            <w:pPr>
              <w:rPr>
                <w:highlight w:val="red"/>
              </w:rPr>
            </w:pPr>
            <w:r w:rsidRPr="000C152C">
              <w:rPr>
                <w:highlight w:val="red"/>
              </w:rPr>
              <w:t>-0.966</w:t>
            </w:r>
          </w:p>
        </w:tc>
        <w:tc>
          <w:tcPr>
            <w:tcW w:w="1573" w:type="dxa"/>
          </w:tcPr>
          <w:p w14:paraId="482E03DA" w14:textId="3C92EAF4" w:rsidR="00085348" w:rsidRDefault="008578D6" w:rsidP="007F57EA">
            <w:r w:rsidRPr="000C152C">
              <w:rPr>
                <w:highlight w:val="green"/>
              </w:rPr>
              <w:t>17.129</w:t>
            </w:r>
          </w:p>
        </w:tc>
      </w:tr>
      <w:tr w:rsidR="00085348" w14:paraId="3CE8A40C" w14:textId="77777777" w:rsidTr="008578D6">
        <w:tc>
          <w:tcPr>
            <w:tcW w:w="1277" w:type="dxa"/>
          </w:tcPr>
          <w:p w14:paraId="04234599" w14:textId="773C8524" w:rsidR="00085348" w:rsidRPr="00085348" w:rsidRDefault="00085348" w:rsidP="007F57EA">
            <w:pPr>
              <w:rPr>
                <w:b/>
                <w:bCs/>
              </w:rPr>
            </w:pPr>
            <w:r w:rsidRPr="00085348">
              <w:rPr>
                <w:b/>
                <w:bCs/>
              </w:rPr>
              <w:t>XLI</w:t>
            </w:r>
          </w:p>
        </w:tc>
        <w:tc>
          <w:tcPr>
            <w:tcW w:w="1984" w:type="dxa"/>
          </w:tcPr>
          <w:p w14:paraId="58319EF3" w14:textId="1BA3D66E" w:rsidR="00085348" w:rsidRDefault="008578D6" w:rsidP="007F57EA">
            <w:r>
              <w:t>12.164</w:t>
            </w:r>
          </w:p>
        </w:tc>
        <w:tc>
          <w:tcPr>
            <w:tcW w:w="1985" w:type="dxa"/>
          </w:tcPr>
          <w:p w14:paraId="02ABBC1A" w14:textId="16875FE1" w:rsidR="00085348" w:rsidRDefault="008578D6" w:rsidP="007F57EA">
            <w:r>
              <w:t>19.903</w:t>
            </w:r>
          </w:p>
        </w:tc>
        <w:tc>
          <w:tcPr>
            <w:tcW w:w="1701" w:type="dxa"/>
          </w:tcPr>
          <w:p w14:paraId="115BF389" w14:textId="1789A24E" w:rsidR="00085348" w:rsidRDefault="008578D6" w:rsidP="007F57EA">
            <w:r>
              <w:t>0.040</w:t>
            </w:r>
          </w:p>
        </w:tc>
        <w:tc>
          <w:tcPr>
            <w:tcW w:w="1397" w:type="dxa"/>
          </w:tcPr>
          <w:p w14:paraId="0F9A8A31" w14:textId="1A84E9F1" w:rsidR="00085348" w:rsidRDefault="008578D6" w:rsidP="007F57EA">
            <w:r>
              <w:t>-0.570</w:t>
            </w:r>
          </w:p>
        </w:tc>
        <w:tc>
          <w:tcPr>
            <w:tcW w:w="1573" w:type="dxa"/>
          </w:tcPr>
          <w:p w14:paraId="36B445DB" w14:textId="028C990E" w:rsidR="00085348" w:rsidRDefault="008578D6" w:rsidP="007F57EA">
            <w:r>
              <w:t>14.356</w:t>
            </w:r>
          </w:p>
        </w:tc>
      </w:tr>
      <w:tr w:rsidR="00085348" w14:paraId="220B1B9D" w14:textId="77777777" w:rsidTr="008578D6">
        <w:tc>
          <w:tcPr>
            <w:tcW w:w="1277" w:type="dxa"/>
          </w:tcPr>
          <w:p w14:paraId="20AC546A" w14:textId="3C2C4CD8" w:rsidR="00085348" w:rsidRPr="00085348" w:rsidRDefault="00085348" w:rsidP="007F57EA">
            <w:pPr>
              <w:rPr>
                <w:b/>
                <w:bCs/>
              </w:rPr>
            </w:pPr>
            <w:r w:rsidRPr="00085348">
              <w:rPr>
                <w:b/>
                <w:bCs/>
              </w:rPr>
              <w:t>XLY</w:t>
            </w:r>
          </w:p>
        </w:tc>
        <w:tc>
          <w:tcPr>
            <w:tcW w:w="1984" w:type="dxa"/>
          </w:tcPr>
          <w:p w14:paraId="0E2F25C0" w14:textId="587C69C4" w:rsidR="00085348" w:rsidRDefault="008578D6" w:rsidP="007F57EA">
            <w:r>
              <w:t>10.912</w:t>
            </w:r>
          </w:p>
        </w:tc>
        <w:tc>
          <w:tcPr>
            <w:tcW w:w="1985" w:type="dxa"/>
          </w:tcPr>
          <w:p w14:paraId="41C7F5EA" w14:textId="62AB47B1" w:rsidR="00085348" w:rsidRDefault="008578D6" w:rsidP="007F57EA">
            <w:r>
              <w:t>22.015</w:t>
            </w:r>
          </w:p>
        </w:tc>
        <w:tc>
          <w:tcPr>
            <w:tcW w:w="1701" w:type="dxa"/>
          </w:tcPr>
          <w:p w14:paraId="2F31F092" w14:textId="25DF6BBC" w:rsidR="00085348" w:rsidRDefault="008578D6" w:rsidP="007F57EA">
            <w:r>
              <w:t>0.048</w:t>
            </w:r>
          </w:p>
        </w:tc>
        <w:tc>
          <w:tcPr>
            <w:tcW w:w="1397" w:type="dxa"/>
          </w:tcPr>
          <w:p w14:paraId="29E6CD5C" w14:textId="12A0CB93" w:rsidR="00085348" w:rsidRDefault="008578D6" w:rsidP="007F57EA">
            <w:r>
              <w:t>-0.581</w:t>
            </w:r>
          </w:p>
        </w:tc>
        <w:tc>
          <w:tcPr>
            <w:tcW w:w="1573" w:type="dxa"/>
          </w:tcPr>
          <w:p w14:paraId="1660FE5E" w14:textId="385F645C" w:rsidR="00085348" w:rsidRDefault="008578D6" w:rsidP="007F57EA">
            <w:r w:rsidRPr="000C152C">
              <w:rPr>
                <w:highlight w:val="red"/>
              </w:rPr>
              <w:t>9.119</w:t>
            </w:r>
          </w:p>
        </w:tc>
      </w:tr>
    </w:tbl>
    <w:p w14:paraId="629B3C11" w14:textId="77777777" w:rsidR="00085348" w:rsidRDefault="00085348" w:rsidP="007F57EA"/>
    <w:p w14:paraId="3C1D4AA2" w14:textId="77777777" w:rsidR="00E8784D" w:rsidRPr="00E8784D" w:rsidRDefault="00E8784D" w:rsidP="00E8784D">
      <w:r w:rsidRPr="00E8784D">
        <w:t>i. Rendimento più basso e più alto</w:t>
      </w:r>
    </w:p>
    <w:p w14:paraId="4AC50FF4" w14:textId="77777777" w:rsidR="00E8784D" w:rsidRPr="00E8784D" w:rsidRDefault="00E8784D" w:rsidP="00E8784D">
      <w:pPr>
        <w:numPr>
          <w:ilvl w:val="0"/>
          <w:numId w:val="24"/>
        </w:numPr>
      </w:pPr>
      <w:r w:rsidRPr="00E8784D">
        <w:t>Rendimento più alto: È il settore XLK (Technology) con un rendimento medio annuo del 18,629%. Questo dato riflette la forte spinta innovativa e la crescita degli utili delle aziende tecnologiche nel decennio.</w:t>
      </w:r>
    </w:p>
    <w:p w14:paraId="0501DB16" w14:textId="77777777" w:rsidR="00E8784D" w:rsidRPr="00E8784D" w:rsidRDefault="00E8784D" w:rsidP="00E8784D">
      <w:pPr>
        <w:numPr>
          <w:ilvl w:val="0"/>
          <w:numId w:val="24"/>
        </w:numPr>
      </w:pPr>
      <w:r w:rsidRPr="00E8784D">
        <w:t>Rendimento più basso: È il settore XLV (Health Care) con il 9,219%. Si conferma come un settore a crescita costante ma moderata, meno orientato alla massimizzazione aggressiva del capitale rispetto al Tech.</w:t>
      </w:r>
    </w:p>
    <w:p w14:paraId="333E8D7F" w14:textId="77777777" w:rsidR="00E8784D" w:rsidRPr="00E8784D" w:rsidRDefault="00E8784D" w:rsidP="00E8784D">
      <w:r w:rsidRPr="00E8784D">
        <w:t>ii. Deviazione standard (Volatilità) più alta o più bassa</w:t>
      </w:r>
    </w:p>
    <w:p w14:paraId="01C704F3" w14:textId="77777777" w:rsidR="00E8784D" w:rsidRPr="00E8784D" w:rsidRDefault="00E8784D" w:rsidP="00E8784D">
      <w:pPr>
        <w:numPr>
          <w:ilvl w:val="0"/>
          <w:numId w:val="25"/>
        </w:numPr>
      </w:pPr>
      <w:r w:rsidRPr="00E8784D">
        <w:t>Volatilità più alta: Il settore XLE (Energy) registra la deviazione standard più elevata (29,681%). Questo indica un investimento con oscillazioni di prezzo molto brusche, legate all'instabilità dei prezzi delle materie prime.</w:t>
      </w:r>
    </w:p>
    <w:p w14:paraId="4B15A083" w14:textId="77777777" w:rsidR="00E8784D" w:rsidRPr="00E8784D" w:rsidRDefault="00E8784D" w:rsidP="00E8784D">
      <w:pPr>
        <w:numPr>
          <w:ilvl w:val="0"/>
          <w:numId w:val="25"/>
        </w:numPr>
      </w:pPr>
      <w:r w:rsidRPr="00E8784D">
        <w:t>Volatilità più bassa: Ancora una volta è il settore XLV (Health Care) con il 16,549%. Questo lo rende l'asset più stabile del lotto, con variazioni giornaliere molto più contenute rispetto agli altri ETF.</w:t>
      </w:r>
    </w:p>
    <w:p w14:paraId="17BBB150" w14:textId="77777777" w:rsidR="00E8784D" w:rsidRPr="00E8784D" w:rsidRDefault="00E8784D" w:rsidP="00E8784D">
      <w:r w:rsidRPr="00E8784D">
        <w:t>iii. Evoluzione nel tempo di rendimento e volatilità</w:t>
      </w:r>
    </w:p>
    <w:p w14:paraId="168E0DE0" w14:textId="77777777" w:rsidR="00E8784D" w:rsidRPr="00E8784D" w:rsidRDefault="00E8784D" w:rsidP="00E8784D">
      <w:r w:rsidRPr="00E8784D">
        <w:t>Dalla tabella e dall'analisi delle serie storiche si osserva che rendimento e volatilità non sono lineari:</w:t>
      </w:r>
    </w:p>
    <w:p w14:paraId="62B70C9C" w14:textId="77777777" w:rsidR="00E8784D" w:rsidRPr="00E8784D" w:rsidRDefault="00E8784D" w:rsidP="00E8784D">
      <w:pPr>
        <w:numPr>
          <w:ilvl w:val="0"/>
          <w:numId w:val="26"/>
        </w:numPr>
      </w:pPr>
      <w:r w:rsidRPr="00E8784D">
        <w:lastRenderedPageBreak/>
        <w:t>Rendimento: Si evolve con una dinamica a "salti". Mentre il rendimento medio è positivo, nel breve termine è influenzato da shock che portano a correzioni rapide (evidenziate dall'asimmetria negativa in tabella).</w:t>
      </w:r>
    </w:p>
    <w:p w14:paraId="236BAC64" w14:textId="39790623" w:rsidR="00E8784D" w:rsidRPr="00E8784D" w:rsidRDefault="00E8784D" w:rsidP="00E8784D">
      <w:pPr>
        <w:numPr>
          <w:ilvl w:val="0"/>
          <w:numId w:val="26"/>
        </w:numPr>
      </w:pPr>
      <w:r w:rsidRPr="00E8784D">
        <w:t>Volatilità: Tende a essere persistente</w:t>
      </w:r>
      <w:r w:rsidR="000C152C">
        <w:t>; q</w:t>
      </w:r>
      <w:r w:rsidRPr="00E8784D">
        <w:t>uando la volatilità aumenta (come suggerito dai valori di Curtosi elevati che indicano code grasse), rimane alta per un certo periodo prima di tornare alla media. In particolare, settori come XLF e XLE mostrano un'evoluzione più turbolenta rispetto alla relativa calma di XLI o XLV.</w:t>
      </w:r>
    </w:p>
    <w:p w14:paraId="74C14B7F" w14:textId="77777777" w:rsidR="00E8784D" w:rsidRPr="00E8784D" w:rsidRDefault="00E8784D" w:rsidP="00E8784D">
      <w:r w:rsidRPr="00E8784D">
        <w:t>iv. Distribuzione più vicina o lontana dalla normale</w:t>
      </w:r>
    </w:p>
    <w:p w14:paraId="09E1FF72" w14:textId="2AB385A9" w:rsidR="00E8784D" w:rsidRPr="00E8784D" w:rsidRDefault="00E8784D" w:rsidP="00E8784D">
      <w:pPr>
        <w:numPr>
          <w:ilvl w:val="0"/>
          <w:numId w:val="27"/>
        </w:numPr>
      </w:pPr>
      <w:r w:rsidRPr="00E8784D">
        <w:t>La più lontana dalla normale: È il settore XLE (Energy). Ha la Curtosi più alta in assoluto (17,129) e l'Asimmetria più negativa (-0,966). Questo significa che i suoi rendimenti sono estremamente imprevedibili, con una frequenza di eventi catastrofici molto superiore a quanto previsto da un modello teorico normale. Anche XLF è molto distante con una curtosi di 15,869.</w:t>
      </w:r>
    </w:p>
    <w:p w14:paraId="3E116C44" w14:textId="7FB45B9E" w:rsidR="00E8784D" w:rsidRDefault="00E8784D" w:rsidP="00E8784D">
      <w:pPr>
        <w:numPr>
          <w:ilvl w:val="0"/>
          <w:numId w:val="27"/>
        </w:numPr>
      </w:pPr>
      <w:r w:rsidRPr="00E8784D">
        <w:t>La più vicina alla normale: Tra tutte, la distribuzione più regolare (anche se comunque non normale) è quella di XLY (Consumer Discretionary). Ha la Curtosi più bassa del gruppo (9,119) e un'Asimmetria di -0,581. Pur essendo un valore alto, è il meno estremo del dataset, indicando rendimenti che, seppur volatili, seguono una distribuzione leggermente meno esplosiva rispetto a banche o energia.</w:t>
      </w:r>
    </w:p>
    <w:p w14:paraId="63D204BA" w14:textId="77777777" w:rsidR="00E8784D" w:rsidRDefault="00E8784D" w:rsidP="00E8784D"/>
    <w:p w14:paraId="58C8BB55" w14:textId="2437D5C5" w:rsidR="008B4120" w:rsidRPr="008B4120" w:rsidRDefault="00E8784D" w:rsidP="008B4120">
      <w:pPr>
        <w:pStyle w:val="Paragrafoelenco"/>
        <w:numPr>
          <w:ilvl w:val="0"/>
          <w:numId w:val="7"/>
        </w:numPr>
        <w:rPr>
          <w:i/>
          <w:iCs/>
        </w:rPr>
      </w:pPr>
      <w:r w:rsidRPr="00E8784D">
        <w:rPr>
          <w:i/>
          <w:iCs/>
        </w:rPr>
        <w:t>Calcolare la matrice di varianze/covarianze e di correlazione dei rendimenti mensili</w:t>
      </w:r>
    </w:p>
    <w:p w14:paraId="5259ED52" w14:textId="11670112" w:rsidR="008B4120" w:rsidRDefault="002F6582" w:rsidP="008B4120">
      <w:r>
        <w:rPr>
          <w:noProof/>
        </w:rPr>
        <w:drawing>
          <wp:inline distT="0" distB="0" distL="0" distR="0" wp14:anchorId="37A0C5A3" wp14:editId="2DCADD9A">
            <wp:extent cx="3078480" cy="2694550"/>
            <wp:effectExtent l="0" t="0" r="7620" b="0"/>
            <wp:docPr id="91309749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97491" name="Immagine 9130974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80193" cy="2696049"/>
                    </a:xfrm>
                    <a:prstGeom prst="rect">
                      <a:avLst/>
                    </a:prstGeom>
                  </pic:spPr>
                </pic:pic>
              </a:graphicData>
            </a:graphic>
          </wp:inline>
        </w:drawing>
      </w:r>
      <w:r w:rsidR="008B4120">
        <w:rPr>
          <w:noProof/>
        </w:rPr>
        <w:drawing>
          <wp:inline distT="0" distB="0" distL="0" distR="0" wp14:anchorId="02D01794" wp14:editId="36B2A02E">
            <wp:extent cx="3007360" cy="2692833"/>
            <wp:effectExtent l="0" t="0" r="2540" b="0"/>
            <wp:docPr id="40860856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08569" name="Immagine 40860856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10610" cy="2695743"/>
                    </a:xfrm>
                    <a:prstGeom prst="rect">
                      <a:avLst/>
                    </a:prstGeom>
                  </pic:spPr>
                </pic:pic>
              </a:graphicData>
            </a:graphic>
          </wp:inline>
        </w:drawing>
      </w:r>
    </w:p>
    <w:p w14:paraId="27C7844C" w14:textId="60B580A8" w:rsidR="008B4120" w:rsidRPr="008B4120" w:rsidRDefault="008B4120" w:rsidP="008B4120">
      <w:r w:rsidRPr="008B4120">
        <w:t>i. Quali sono i titoli più correlati?</w:t>
      </w:r>
    </w:p>
    <w:p w14:paraId="0C43866C" w14:textId="25B5736C" w:rsidR="008B4120" w:rsidRPr="008B4120" w:rsidRDefault="008B4120" w:rsidP="008B4120">
      <w:pPr>
        <w:numPr>
          <w:ilvl w:val="0"/>
          <w:numId w:val="30"/>
        </w:numPr>
      </w:pPr>
      <w:r w:rsidRPr="008B4120">
        <w:t>XLF (Finanza) e XLI (Industria) → 0.843: Questa è la correlazione più alta tra due settori diversi. Indica un legame indissolubile tra l'attività industriale e il settore bancario che la finanzia. Sono i due pilastri dell'economia tradizionale.</w:t>
      </w:r>
    </w:p>
    <w:p w14:paraId="1588A458" w14:textId="77777777" w:rsidR="008B4120" w:rsidRPr="008B4120" w:rsidRDefault="008B4120" w:rsidP="008B4120">
      <w:pPr>
        <w:numPr>
          <w:ilvl w:val="0"/>
          <w:numId w:val="30"/>
        </w:numPr>
      </w:pPr>
      <w:r w:rsidRPr="008B4120">
        <w:t>XLK (Tecnologia) e XLY (Consumi Ciclici) → 0.833: Una correlazione molto forte che riflette la natura moderna del settore dei consumi (dove aziende come Amazon e Tesla dominano l'XLY, comportandosi di fatto come titoli tecnologici).</w:t>
      </w:r>
    </w:p>
    <w:p w14:paraId="361585E8" w14:textId="77777777" w:rsidR="008B4120" w:rsidRPr="008B4120" w:rsidRDefault="008B4120" w:rsidP="008B4120">
      <w:pPr>
        <w:numPr>
          <w:ilvl w:val="0"/>
          <w:numId w:val="30"/>
        </w:numPr>
      </w:pPr>
      <w:r w:rsidRPr="008B4120">
        <w:t>XLI (Industria) e XLY (Consumi Ciclici) → 0.771: Conferma che i settori ciclici tendono a salire e scendere insieme in base alle aspettative di crescita economica e fiducia dei consumatori.</w:t>
      </w:r>
    </w:p>
    <w:p w14:paraId="7168181C" w14:textId="635F7918" w:rsidR="008B4120" w:rsidRPr="008B4120" w:rsidRDefault="008B4120" w:rsidP="008B4120">
      <w:r w:rsidRPr="008B4120">
        <w:lastRenderedPageBreak/>
        <w:t xml:space="preserve">ii. Quali sono i titoli meno correlati? </w:t>
      </w:r>
    </w:p>
    <w:p w14:paraId="4614866B" w14:textId="77777777" w:rsidR="008B4120" w:rsidRPr="008B4120" w:rsidRDefault="008B4120" w:rsidP="008B4120">
      <w:pPr>
        <w:numPr>
          <w:ilvl w:val="0"/>
          <w:numId w:val="31"/>
        </w:numPr>
      </w:pPr>
      <w:r w:rsidRPr="008B4120">
        <w:t>XLE (Energia) e XLK (Tecnologia) → 0.322: Rimane la coppia con la correlazione più bassa in assoluto. Rappresentano due motori economici distinti: uno basato sulle risorse fisiche e l'altro sull'intangibile e l'innovazione software.</w:t>
      </w:r>
    </w:p>
    <w:p w14:paraId="1C759057" w14:textId="77777777" w:rsidR="008B4120" w:rsidRPr="008B4120" w:rsidRDefault="008B4120" w:rsidP="008B4120">
      <w:pPr>
        <w:numPr>
          <w:ilvl w:val="0"/>
          <w:numId w:val="31"/>
        </w:numPr>
      </w:pPr>
      <w:r w:rsidRPr="008B4120">
        <w:t>XLE (Energia) e XLV (Sanità) → 0.404: Un'altra coppia eccellente per la diversificazione. Il settore energetico è legato alle materie prime, mentre la sanità è legata a dinamiche demografiche e regolamentari.</w:t>
      </w:r>
    </w:p>
    <w:p w14:paraId="652F086F" w14:textId="77777777" w:rsidR="008B4120" w:rsidRPr="008B4120" w:rsidRDefault="008B4120" w:rsidP="008B4120">
      <w:pPr>
        <w:numPr>
          <w:ilvl w:val="0"/>
          <w:numId w:val="31"/>
        </w:numPr>
      </w:pPr>
      <w:r w:rsidRPr="008B4120">
        <w:t>XLE (Energia) e XLY (Consumi Ciclici) → 0.425: Anche in questo caso, la decorrelazione è netta. Spesso, l'aumento dei costi energetici (XLE sale) comprime il potere d'acquisto dei consumatori (XLY potrebbe soffrire), creando movimenti divergenti.</w:t>
      </w:r>
    </w:p>
    <w:p w14:paraId="58637851" w14:textId="77777777" w:rsidR="008B4120" w:rsidRDefault="008B4120" w:rsidP="008B4120">
      <w:pPr>
        <w:numPr>
          <w:ilvl w:val="0"/>
          <w:numId w:val="31"/>
        </w:numPr>
      </w:pPr>
      <w:r w:rsidRPr="008B4120">
        <w:t>XLK (Tecnologia) e XLV (Sanità) → 0.524: Tra i settori non energetici, questa è la coppia meno correlata. Offre una buona difesa perché unisce la crescita aggressiva del Tech con la stabilità difensiva del settore farmaceutico.</w:t>
      </w:r>
    </w:p>
    <w:p w14:paraId="428C82B7" w14:textId="77777777" w:rsidR="00AC16AA" w:rsidRDefault="002F6582" w:rsidP="00AC16AA">
      <w:r w:rsidRPr="002F6582">
        <w:t>L'analisi delle correlazioni esclusivamente settoriali evidenzia un mercato diviso in due blocchi. Da un lato, i settori Finanziario, Industriale, Tecnologico e dei Consumi formano un cluster ad alta integrazione (correlazioni &gt; 0.70), suggerendo che il rischio sistemico agisce su di essi in modo quasi uniforme.</w:t>
      </w:r>
      <w:r>
        <w:t xml:space="preserve"> </w:t>
      </w:r>
      <w:r w:rsidRPr="002F6582">
        <w:t>Dall'altro, il settore Energetico (XLE) si distingue come l'unico vero asset diversificante del paniere, mantenendo correlazioni inferiori allo 0.45 con quasi tutti gli altri comparti (fatta eccezione per i settori tradizionali come Industria e Finanza). In particolare, la minima correlazione tra Energia e Tecnologia (0.322) indica che questi due settori raramente subiscono shock negativi simultanei, rendendo la loro combinazione la strategia più efficace per la riduzione della varianza di portafoglio.</w:t>
      </w:r>
    </w:p>
    <w:p w14:paraId="0226B84C" w14:textId="77777777" w:rsidR="00AC16AA" w:rsidRDefault="00AC16AA" w:rsidP="00AC16AA">
      <w:pPr>
        <w:pStyle w:val="NormaleWeb"/>
      </w:pPr>
    </w:p>
    <w:p w14:paraId="3DF352C5" w14:textId="77777777" w:rsidR="00AC16AA" w:rsidRDefault="008B4120" w:rsidP="002F6582">
      <w:pPr>
        <w:rPr>
          <w:i/>
          <w:iCs/>
        </w:rPr>
      </w:pPr>
      <w:r w:rsidRPr="00AC16AA">
        <w:rPr>
          <w:i/>
          <w:iCs/>
        </w:rPr>
        <w:t>g.</w:t>
      </w:r>
      <w:r w:rsidRPr="00AC16AA">
        <w:rPr>
          <w:i/>
          <w:iCs/>
          <w:color w:val="212529"/>
          <w:sz w:val="14"/>
          <w:szCs w:val="14"/>
          <w:shd w:val="clear" w:color="auto" w:fill="FFFFFF"/>
        </w:rPr>
        <w:t xml:space="preserve"> </w:t>
      </w:r>
      <w:r w:rsidRPr="00AC16AA">
        <w:rPr>
          <w:i/>
          <w:iCs/>
        </w:rPr>
        <w:t>   Fare il grafico dell’andamento nel tempo delle correlazioni fra i titoli e i grafici di dispersione (scatter plots) dei rendimenti di ciascun ETF con l’indice di mercato,</w:t>
      </w:r>
      <w:r w:rsidR="002F6582" w:rsidRPr="00AC16AA">
        <w:rPr>
          <w:i/>
          <w:iCs/>
        </w:rPr>
        <w:t xml:space="preserve"> </w:t>
      </w:r>
      <w:r w:rsidRPr="00AC16AA">
        <w:rPr>
          <w:i/>
          <w:iCs/>
        </w:rPr>
        <w:t>dai quali risulti la maggiore o minore la correlazione storica dei rendimenti</w:t>
      </w:r>
    </w:p>
    <w:p w14:paraId="190D2012" w14:textId="436612FD" w:rsidR="0077049A" w:rsidRPr="00AC16AA" w:rsidRDefault="0077049A" w:rsidP="00AC16AA">
      <w:pPr>
        <w:jc w:val="center"/>
        <w:rPr>
          <w:i/>
          <w:iCs/>
        </w:rPr>
      </w:pPr>
      <w:r>
        <w:rPr>
          <w:noProof/>
        </w:rPr>
        <w:drawing>
          <wp:inline distT="0" distB="0" distL="0" distR="0" wp14:anchorId="1033CBEB" wp14:editId="21992A80">
            <wp:extent cx="5086156" cy="3471333"/>
            <wp:effectExtent l="0" t="0" r="635" b="0"/>
            <wp:docPr id="29598335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83357" name="Immagine 295983357"/>
                    <pic:cNvPicPr/>
                  </pic:nvPicPr>
                  <pic:blipFill>
                    <a:blip r:embed="rId24">
                      <a:extLst>
                        <a:ext uri="{28A0092B-C50C-407E-A947-70E740481C1C}">
                          <a14:useLocalDpi xmlns:a14="http://schemas.microsoft.com/office/drawing/2010/main" val="0"/>
                        </a:ext>
                      </a:extLst>
                    </a:blip>
                    <a:stretch>
                      <a:fillRect/>
                    </a:stretch>
                  </pic:blipFill>
                  <pic:spPr>
                    <a:xfrm>
                      <a:off x="0" y="0"/>
                      <a:ext cx="5202943" cy="3551041"/>
                    </a:xfrm>
                    <a:prstGeom prst="rect">
                      <a:avLst/>
                    </a:prstGeom>
                  </pic:spPr>
                </pic:pic>
              </a:graphicData>
            </a:graphic>
          </wp:inline>
        </w:drawing>
      </w:r>
    </w:p>
    <w:p w14:paraId="32D9BE05" w14:textId="62429623" w:rsidR="0077049A" w:rsidRPr="0077049A" w:rsidRDefault="0077049A" w:rsidP="0077049A">
      <w:pPr>
        <w:rPr>
          <w:i/>
          <w:iCs/>
        </w:rPr>
      </w:pPr>
      <w:r>
        <w:rPr>
          <w:noProof/>
        </w:rPr>
        <w:lastRenderedPageBreak/>
        <w:drawing>
          <wp:inline distT="0" distB="0" distL="0" distR="0" wp14:anchorId="3AB2E4F7" wp14:editId="2F86950E">
            <wp:extent cx="6120130" cy="3658235"/>
            <wp:effectExtent l="0" t="0" r="0" b="0"/>
            <wp:docPr id="2222289"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289" name="Immagine 222228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3658235"/>
                    </a:xfrm>
                    <a:prstGeom prst="rect">
                      <a:avLst/>
                    </a:prstGeom>
                  </pic:spPr>
                </pic:pic>
              </a:graphicData>
            </a:graphic>
          </wp:inline>
        </w:drawing>
      </w:r>
      <w:r w:rsidRPr="0077049A">
        <w:rPr>
          <w:i/>
          <w:iCs/>
        </w:rPr>
        <w:t xml:space="preserve"> </w:t>
      </w:r>
      <w:r w:rsidRPr="0077049A">
        <w:rPr>
          <w:i/>
          <w:iCs/>
        </w:rPr>
        <w:t>Scatter Plots ETF vs S&amp;P500</w:t>
      </w:r>
    </w:p>
    <w:p w14:paraId="45F535A4" w14:textId="665B93D1" w:rsidR="0077049A" w:rsidRDefault="0077049A" w:rsidP="002F6582"/>
    <w:p w14:paraId="40B271F5" w14:textId="5BB83C7C" w:rsidR="002F6582" w:rsidRPr="002F6582" w:rsidRDefault="002F6582" w:rsidP="002F6582">
      <w:r w:rsidRPr="002F6582">
        <w:t>i. Commento alle relazioni e andamento nel tempo</w:t>
      </w:r>
    </w:p>
    <w:p w14:paraId="18CAA976" w14:textId="59A2769B" w:rsidR="002F6582" w:rsidRPr="002F6582" w:rsidRDefault="002F6582" w:rsidP="002F6582">
      <w:r w:rsidRPr="002F6582">
        <w:t xml:space="preserve">Il grafico dell'evoluzione storica mostra che la correlazione è un'entità </w:t>
      </w:r>
      <w:r>
        <w:t>dinamica</w:t>
      </w:r>
      <w:r w:rsidRPr="002F6582">
        <w:t>:</w:t>
      </w:r>
    </w:p>
    <w:p w14:paraId="31D3C519" w14:textId="45B077FB" w:rsidR="002F6582" w:rsidRPr="002F6582" w:rsidRDefault="002F6582" w:rsidP="002F6582">
      <w:pPr>
        <w:numPr>
          <w:ilvl w:val="0"/>
          <w:numId w:val="32"/>
        </w:numPr>
      </w:pPr>
      <w:r w:rsidRPr="002F6582">
        <w:t>Instabilità strutturale: Non esiste una correlazione fissa</w:t>
      </w:r>
      <w:r>
        <w:t xml:space="preserve">: </w:t>
      </w:r>
      <w:r w:rsidRPr="002F6582">
        <w:t>le linee oscillano drasticamente tra 0 e 0.95.</w:t>
      </w:r>
    </w:p>
    <w:p w14:paraId="243D1086" w14:textId="04D0B991" w:rsidR="002F6582" w:rsidRPr="002F6582" w:rsidRDefault="002F6582" w:rsidP="002F6582">
      <w:pPr>
        <w:numPr>
          <w:ilvl w:val="0"/>
          <w:numId w:val="32"/>
        </w:numPr>
      </w:pPr>
      <w:r w:rsidRPr="002F6582">
        <w:t xml:space="preserve">Il blocco 2020-2021: </w:t>
      </w:r>
      <w:r>
        <w:t>Si noti</w:t>
      </w:r>
      <w:r w:rsidRPr="002F6582">
        <w:t xml:space="preserve"> il plateau altissimo in corrispondenza del 2020. In quel periodo, quasi tutte le coppie di ETF si sono schiacciate verso l'alto. È il segnale che durante la pandemia i fondamentali dei singoli settori sono passati in secondo piano rispetto alla paura macroeconomica globale.</w:t>
      </w:r>
    </w:p>
    <w:p w14:paraId="55AFA03F" w14:textId="77777777" w:rsidR="002F6582" w:rsidRPr="002F6582" w:rsidRDefault="002F6582" w:rsidP="002F6582">
      <w:r w:rsidRPr="002F6582">
        <w:t>ii. Come cambia la correlazione tra ETF e mercato nel tempo?</w:t>
      </w:r>
    </w:p>
    <w:p w14:paraId="4DA37A3C" w14:textId="77777777" w:rsidR="002F6582" w:rsidRPr="002F6582" w:rsidRDefault="002F6582" w:rsidP="002F6582">
      <w:r w:rsidRPr="002F6582">
        <w:t>Osservando gli Scatter Plots, i titoli mostrano coefficienti di correlazione con l'S&amp;P 500 molto alti (XLK 0.93, XLY 0.90, XLI 0.88).</w:t>
      </w:r>
    </w:p>
    <w:p w14:paraId="1395387A" w14:textId="7B98CDE5" w:rsidR="002F6582" w:rsidRPr="002F6582" w:rsidRDefault="002F6582" w:rsidP="002F6582">
      <w:pPr>
        <w:numPr>
          <w:ilvl w:val="0"/>
          <w:numId w:val="33"/>
        </w:numPr>
      </w:pPr>
      <w:r w:rsidRPr="002F6582">
        <w:t xml:space="preserve">Comportamento nei periodi di crisi: </w:t>
      </w:r>
      <w:r w:rsidR="0077049A">
        <w:t>Si notino nel</w:t>
      </w:r>
      <w:r w:rsidRPr="002F6582">
        <w:t xml:space="preserve"> grafico dell'evoluzione nel 2020 e all'inizio del 2025</w:t>
      </w:r>
      <w:r w:rsidR="0077049A">
        <w:t xml:space="preserve"> dei</w:t>
      </w:r>
      <w:r w:rsidRPr="002F6582">
        <w:t xml:space="preserve"> picchi verticali</w:t>
      </w:r>
      <w:r w:rsidR="0077049A">
        <w:t xml:space="preserve">: </w:t>
      </w:r>
      <w:r w:rsidRPr="002F6582">
        <w:t xml:space="preserve">è il momento in cui gli ETF diventano </w:t>
      </w:r>
      <w:r w:rsidR="0077049A">
        <w:t>un tuttuno</w:t>
      </w:r>
      <w:r w:rsidRPr="002F6582">
        <w:t xml:space="preserve"> con il mercato. Quando il mercato crolla, la diversificazione sparisce.</w:t>
      </w:r>
    </w:p>
    <w:p w14:paraId="5EA44A47" w14:textId="4C263326" w:rsidR="002F6582" w:rsidRPr="002F6582" w:rsidRDefault="002F6582" w:rsidP="002F6582">
      <w:pPr>
        <w:numPr>
          <w:ilvl w:val="0"/>
          <w:numId w:val="33"/>
        </w:numPr>
      </w:pPr>
      <w:r w:rsidRPr="002F6582">
        <w:t>Divergenza post-2021: Dopo il 2021, alcune linee (specialmente quelle legate a XLE, l'energia) crollano verso lo 0.2 o lo 0.0. Questo indica che l'energia ha iniziato a muoversi per conto suo, separandosi dal trend del mercato generale.</w:t>
      </w:r>
    </w:p>
    <w:p w14:paraId="5FC27B34" w14:textId="77777777" w:rsidR="002F6582" w:rsidRPr="002F6582" w:rsidRDefault="002F6582" w:rsidP="002F6582">
      <w:r w:rsidRPr="002F6582">
        <w:t>iii. Come cambiano le correlazioni in funzione dei rendimenti?</w:t>
      </w:r>
    </w:p>
    <w:p w14:paraId="0F2274D6" w14:textId="2DBB273C" w:rsidR="002F6582" w:rsidRPr="002F6582" w:rsidRDefault="002F6582" w:rsidP="002F6582">
      <w:pPr>
        <w:numPr>
          <w:ilvl w:val="0"/>
          <w:numId w:val="34"/>
        </w:numPr>
      </w:pPr>
      <w:r w:rsidRPr="002F6582">
        <w:t xml:space="preserve">Correlazione asimmetrica: </w:t>
      </w:r>
      <w:r w:rsidR="0077049A">
        <w:t>N</w:t>
      </w:r>
      <w:r w:rsidRPr="002F6582">
        <w:t xml:space="preserve">ella parte in basso a sinistra </w:t>
      </w:r>
      <w:r w:rsidR="0077049A">
        <w:t xml:space="preserve">degli Scatter plots </w:t>
      </w:r>
      <w:r w:rsidRPr="002F6582">
        <w:t>(rendimenti negativi per entrambi), i punti sono molto più vicini alla linea rossa e meno dispersi.</w:t>
      </w:r>
    </w:p>
    <w:p w14:paraId="37E8F462" w14:textId="77777777" w:rsidR="002F6582" w:rsidRPr="002F6582" w:rsidRDefault="002F6582" w:rsidP="002F6582">
      <w:pPr>
        <w:numPr>
          <w:ilvl w:val="0"/>
          <w:numId w:val="34"/>
        </w:numPr>
      </w:pPr>
      <w:r w:rsidRPr="002F6582">
        <w:lastRenderedPageBreak/>
        <w:t>Interpretazione: Questo conferma che le correlazioni aumentano quando i rendimenti sono negativi. Gli investitori tendono a vendere tutto insieme durante i crash, mentre sono più selettivi (e quindi i titoli sono più decorrelati) quando il mercato sale.</w:t>
      </w:r>
    </w:p>
    <w:p w14:paraId="7EF427BE" w14:textId="77777777" w:rsidR="002F6582" w:rsidRPr="002F6582" w:rsidRDefault="002F6582" w:rsidP="002F6582">
      <w:r w:rsidRPr="002F6582">
        <w:t>iv. La dispersione dei punti conferma la relazione lineare?</w:t>
      </w:r>
    </w:p>
    <w:p w14:paraId="2880380F" w14:textId="7D3BF14D" w:rsidR="002F6582" w:rsidRPr="002F6582" w:rsidRDefault="002F6582" w:rsidP="002F6582">
      <w:pPr>
        <w:numPr>
          <w:ilvl w:val="0"/>
          <w:numId w:val="35"/>
        </w:numPr>
      </w:pPr>
      <w:r w:rsidRPr="002F6582">
        <w:t xml:space="preserve">Conferma forte: Per XLK (0.93) e XLY (0.90), la forma è una linea quasi perfetta. Qui la relazione lineare è solidissima: se l'S&amp;P 500 si muove dell'1%, </w:t>
      </w:r>
      <w:r w:rsidR="0077049A">
        <w:t>si può</w:t>
      </w:r>
      <w:r w:rsidRPr="002F6582">
        <w:t xml:space="preserve"> prevedere con molta precisione quanto si muoverà l'ETF.</w:t>
      </w:r>
    </w:p>
    <w:p w14:paraId="59F35736" w14:textId="0E024165" w:rsidR="002F6582" w:rsidRPr="002F6582" w:rsidRDefault="002F6582" w:rsidP="002F6582">
      <w:pPr>
        <w:numPr>
          <w:ilvl w:val="0"/>
          <w:numId w:val="35"/>
        </w:numPr>
      </w:pPr>
      <w:r w:rsidRPr="002F6582">
        <w:t xml:space="preserve">Debolezza per XLE: </w:t>
      </w:r>
      <w:r w:rsidR="0077049A">
        <w:t>Ne</w:t>
      </w:r>
      <w:r w:rsidR="00675407">
        <w:t>l</w:t>
      </w:r>
      <w:r w:rsidRPr="002F6582">
        <w:t xml:space="preserve"> grafico di XLE vs S&amp;P 500 (0.61). La nuvola è molto più </w:t>
      </w:r>
      <w:r w:rsidR="0077049A">
        <w:t>dispersa</w:t>
      </w:r>
      <w:r w:rsidRPr="002F6582">
        <w:t>. Ci sono molti punti distanti dalla linea rossa</w:t>
      </w:r>
      <w:r w:rsidR="00AF3D08">
        <w:t xml:space="preserve">. </w:t>
      </w:r>
      <w:r w:rsidRPr="002F6582">
        <w:t>Questo suggerisce che per l'energia la relazione lineare è più debole: l'indice S&amp;P 500 spiega solo una parte del movimento di XLE, il resto è dovuto a fattori specifici (prezzo del petrolio, geopolitica).</w:t>
      </w:r>
    </w:p>
    <w:p w14:paraId="6E483434" w14:textId="77777777" w:rsidR="00E8784D" w:rsidRPr="008B4120" w:rsidRDefault="00E8784D" w:rsidP="00E8784D"/>
    <w:p w14:paraId="659C72B1" w14:textId="77777777" w:rsidR="007F57EA" w:rsidRPr="008B4120" w:rsidRDefault="007F57EA" w:rsidP="007F57EA"/>
    <w:p w14:paraId="26B697B8" w14:textId="77777777" w:rsidR="007F57EA" w:rsidRPr="008B4120" w:rsidRDefault="007F57EA" w:rsidP="007F57EA"/>
    <w:p w14:paraId="4FB3CFED" w14:textId="77777777" w:rsidR="007F57EA" w:rsidRDefault="007F57EA" w:rsidP="007F57EA"/>
    <w:p w14:paraId="48EB35A0" w14:textId="77777777" w:rsidR="007F57EA" w:rsidRDefault="007F57EA" w:rsidP="007F57EA"/>
    <w:p w14:paraId="65D85AF7" w14:textId="77777777" w:rsidR="0084015A" w:rsidRPr="00227C80" w:rsidRDefault="0084015A" w:rsidP="00227C80"/>
    <w:sectPr w:rsidR="0084015A" w:rsidRPr="00227C80">
      <w:headerReference w:type="default" r:id="rId2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72652" w14:textId="77777777" w:rsidR="00BB4F0E" w:rsidRDefault="00BB4F0E" w:rsidP="00FB55BF">
      <w:pPr>
        <w:spacing w:after="0" w:line="240" w:lineRule="auto"/>
      </w:pPr>
      <w:r>
        <w:separator/>
      </w:r>
    </w:p>
  </w:endnote>
  <w:endnote w:type="continuationSeparator" w:id="0">
    <w:p w14:paraId="0E67EF21" w14:textId="77777777" w:rsidR="00BB4F0E" w:rsidRDefault="00BB4F0E" w:rsidP="00FB5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D9347" w14:textId="77777777" w:rsidR="00BB4F0E" w:rsidRDefault="00BB4F0E" w:rsidP="00FB55BF">
      <w:pPr>
        <w:spacing w:after="0" w:line="240" w:lineRule="auto"/>
      </w:pPr>
      <w:r>
        <w:separator/>
      </w:r>
    </w:p>
  </w:footnote>
  <w:footnote w:type="continuationSeparator" w:id="0">
    <w:p w14:paraId="58EF3D47" w14:textId="77777777" w:rsidR="00BB4F0E" w:rsidRDefault="00BB4F0E" w:rsidP="00FB5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C85F6" w14:textId="2A43FB35" w:rsidR="00FB55BF" w:rsidRDefault="00FB55BF">
    <w:pPr>
      <w:pStyle w:val="Intestazione"/>
    </w:pPr>
    <w:r>
      <w:t>Paninforni Filippo</w:t>
    </w:r>
    <w:r>
      <w:tab/>
    </w:r>
    <w:r>
      <w:tab/>
      <w:t>Mat. 909277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1918"/>
    <w:multiLevelType w:val="multilevel"/>
    <w:tmpl w:val="EC72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B60D7"/>
    <w:multiLevelType w:val="multilevel"/>
    <w:tmpl w:val="C50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542FD"/>
    <w:multiLevelType w:val="multilevel"/>
    <w:tmpl w:val="6658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52C1B"/>
    <w:multiLevelType w:val="multilevel"/>
    <w:tmpl w:val="6632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747C3"/>
    <w:multiLevelType w:val="multilevel"/>
    <w:tmpl w:val="7132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A0AF5"/>
    <w:multiLevelType w:val="multilevel"/>
    <w:tmpl w:val="0F6C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B47FC"/>
    <w:multiLevelType w:val="multilevel"/>
    <w:tmpl w:val="A6D48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EB573D"/>
    <w:multiLevelType w:val="multilevel"/>
    <w:tmpl w:val="233C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45181"/>
    <w:multiLevelType w:val="multilevel"/>
    <w:tmpl w:val="03AC2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3E3E09"/>
    <w:multiLevelType w:val="hybridMultilevel"/>
    <w:tmpl w:val="22348404"/>
    <w:lvl w:ilvl="0" w:tplc="36B04A98">
      <w:start w:val="1"/>
      <w:numFmt w:val="decimal"/>
      <w:lvlText w:val="%1."/>
      <w:lvlJc w:val="left"/>
      <w:pPr>
        <w:ind w:left="720" w:hanging="360"/>
      </w:pPr>
      <w:rPr>
        <w:rFonts w:hint="default"/>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A6A6593"/>
    <w:multiLevelType w:val="multilevel"/>
    <w:tmpl w:val="2716E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4C10C5"/>
    <w:multiLevelType w:val="multilevel"/>
    <w:tmpl w:val="2E6E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F0704"/>
    <w:multiLevelType w:val="multilevel"/>
    <w:tmpl w:val="C8001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2105E6"/>
    <w:multiLevelType w:val="multilevel"/>
    <w:tmpl w:val="DCB8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766CB"/>
    <w:multiLevelType w:val="multilevel"/>
    <w:tmpl w:val="9388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759CF"/>
    <w:multiLevelType w:val="multilevel"/>
    <w:tmpl w:val="3AEC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70C94"/>
    <w:multiLevelType w:val="multilevel"/>
    <w:tmpl w:val="529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A5BDF"/>
    <w:multiLevelType w:val="multilevel"/>
    <w:tmpl w:val="A800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38453B"/>
    <w:multiLevelType w:val="multilevel"/>
    <w:tmpl w:val="393E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D75C7"/>
    <w:multiLevelType w:val="multilevel"/>
    <w:tmpl w:val="414C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F0310"/>
    <w:multiLevelType w:val="multilevel"/>
    <w:tmpl w:val="672E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95729"/>
    <w:multiLevelType w:val="multilevel"/>
    <w:tmpl w:val="286E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81E59"/>
    <w:multiLevelType w:val="multilevel"/>
    <w:tmpl w:val="ED58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10032"/>
    <w:multiLevelType w:val="multilevel"/>
    <w:tmpl w:val="36A0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F3755"/>
    <w:multiLevelType w:val="hybridMultilevel"/>
    <w:tmpl w:val="34ECA9AC"/>
    <w:lvl w:ilvl="0" w:tplc="35BE1D38">
      <w:start w:val="1"/>
      <w:numFmt w:val="decimal"/>
      <w:lvlText w:val="%1."/>
      <w:lvlJc w:val="left"/>
      <w:pPr>
        <w:ind w:left="720" w:hanging="360"/>
      </w:pPr>
      <w:rPr>
        <w:rFonts w:hint="default"/>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6465304A"/>
    <w:multiLevelType w:val="hybridMultilevel"/>
    <w:tmpl w:val="603E983A"/>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8B65B33"/>
    <w:multiLevelType w:val="hybridMultilevel"/>
    <w:tmpl w:val="F41EBD72"/>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F33480E"/>
    <w:multiLevelType w:val="multilevel"/>
    <w:tmpl w:val="F502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A7413"/>
    <w:multiLevelType w:val="multilevel"/>
    <w:tmpl w:val="9BD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D17050"/>
    <w:multiLevelType w:val="hybridMultilevel"/>
    <w:tmpl w:val="B57CF91E"/>
    <w:lvl w:ilvl="0" w:tplc="04100019">
      <w:start w:val="1"/>
      <w:numFmt w:val="lowerLetter"/>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0" w15:restartNumberingAfterBreak="0">
    <w:nsid w:val="76FA2C6C"/>
    <w:multiLevelType w:val="multilevel"/>
    <w:tmpl w:val="B1C4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7E607B"/>
    <w:multiLevelType w:val="multilevel"/>
    <w:tmpl w:val="2BB4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A52F8B"/>
    <w:multiLevelType w:val="multilevel"/>
    <w:tmpl w:val="4A0A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E4613"/>
    <w:multiLevelType w:val="hybridMultilevel"/>
    <w:tmpl w:val="125009D0"/>
    <w:lvl w:ilvl="0" w:tplc="4FF8494A">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B8021D7"/>
    <w:multiLevelType w:val="multilevel"/>
    <w:tmpl w:val="B7F4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879086">
    <w:abstractNumId w:val="33"/>
  </w:num>
  <w:num w:numId="2" w16cid:durableId="1249850111">
    <w:abstractNumId w:val="24"/>
  </w:num>
  <w:num w:numId="3" w16cid:durableId="670372396">
    <w:abstractNumId w:val="29"/>
  </w:num>
  <w:num w:numId="4" w16cid:durableId="1707948019">
    <w:abstractNumId w:val="9"/>
  </w:num>
  <w:num w:numId="5" w16cid:durableId="1039167186">
    <w:abstractNumId w:val="25"/>
  </w:num>
  <w:num w:numId="6" w16cid:durableId="800734105">
    <w:abstractNumId w:val="3"/>
  </w:num>
  <w:num w:numId="7" w16cid:durableId="2092116003">
    <w:abstractNumId w:val="26"/>
  </w:num>
  <w:num w:numId="8" w16cid:durableId="2031684309">
    <w:abstractNumId w:val="28"/>
  </w:num>
  <w:num w:numId="9" w16cid:durableId="342709450">
    <w:abstractNumId w:val="20"/>
  </w:num>
  <w:num w:numId="10" w16cid:durableId="938638410">
    <w:abstractNumId w:val="19"/>
  </w:num>
  <w:num w:numId="11" w16cid:durableId="1601840524">
    <w:abstractNumId w:val="11"/>
  </w:num>
  <w:num w:numId="12" w16cid:durableId="1708329718">
    <w:abstractNumId w:val="23"/>
  </w:num>
  <w:num w:numId="13" w16cid:durableId="1383558028">
    <w:abstractNumId w:val="10"/>
  </w:num>
  <w:num w:numId="14" w16cid:durableId="393356350">
    <w:abstractNumId w:val="13"/>
  </w:num>
  <w:num w:numId="15" w16cid:durableId="1528061983">
    <w:abstractNumId w:val="8"/>
  </w:num>
  <w:num w:numId="16" w16cid:durableId="2114471859">
    <w:abstractNumId w:val="2"/>
  </w:num>
  <w:num w:numId="17" w16cid:durableId="1791624147">
    <w:abstractNumId w:val="27"/>
  </w:num>
  <w:num w:numId="18" w16cid:durableId="244388283">
    <w:abstractNumId w:val="31"/>
  </w:num>
  <w:num w:numId="19" w16cid:durableId="714696166">
    <w:abstractNumId w:val="32"/>
  </w:num>
  <w:num w:numId="20" w16cid:durableId="646517153">
    <w:abstractNumId w:val="5"/>
  </w:num>
  <w:num w:numId="21" w16cid:durableId="325480431">
    <w:abstractNumId w:val="30"/>
  </w:num>
  <w:num w:numId="22" w16cid:durableId="1543442656">
    <w:abstractNumId w:val="34"/>
  </w:num>
  <w:num w:numId="23" w16cid:durableId="864565552">
    <w:abstractNumId w:val="0"/>
  </w:num>
  <w:num w:numId="24" w16cid:durableId="1605915925">
    <w:abstractNumId w:val="21"/>
  </w:num>
  <w:num w:numId="25" w16cid:durableId="1741947087">
    <w:abstractNumId w:val="22"/>
  </w:num>
  <w:num w:numId="26" w16cid:durableId="119962395">
    <w:abstractNumId w:val="14"/>
  </w:num>
  <w:num w:numId="27" w16cid:durableId="1679425564">
    <w:abstractNumId w:val="1"/>
  </w:num>
  <w:num w:numId="28" w16cid:durableId="512691233">
    <w:abstractNumId w:val="6"/>
  </w:num>
  <w:num w:numId="29" w16cid:durableId="267276856">
    <w:abstractNumId w:val="4"/>
  </w:num>
  <w:num w:numId="30" w16cid:durableId="882448917">
    <w:abstractNumId w:val="12"/>
  </w:num>
  <w:num w:numId="31" w16cid:durableId="157893186">
    <w:abstractNumId w:val="17"/>
  </w:num>
  <w:num w:numId="32" w16cid:durableId="1455364895">
    <w:abstractNumId w:val="15"/>
  </w:num>
  <w:num w:numId="33" w16cid:durableId="1402411073">
    <w:abstractNumId w:val="16"/>
  </w:num>
  <w:num w:numId="34" w16cid:durableId="89620343">
    <w:abstractNumId w:val="7"/>
  </w:num>
  <w:num w:numId="35" w16cid:durableId="1010696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438"/>
    <w:rsid w:val="00085348"/>
    <w:rsid w:val="000A1B49"/>
    <w:rsid w:val="000B1DBB"/>
    <w:rsid w:val="000C152C"/>
    <w:rsid w:val="001D310A"/>
    <w:rsid w:val="0022104D"/>
    <w:rsid w:val="00227C80"/>
    <w:rsid w:val="002F6582"/>
    <w:rsid w:val="00363294"/>
    <w:rsid w:val="003D73A7"/>
    <w:rsid w:val="00461B52"/>
    <w:rsid w:val="00590267"/>
    <w:rsid w:val="00675407"/>
    <w:rsid w:val="0077049A"/>
    <w:rsid w:val="007D1384"/>
    <w:rsid w:val="007F57EA"/>
    <w:rsid w:val="0084015A"/>
    <w:rsid w:val="008578D6"/>
    <w:rsid w:val="008B4120"/>
    <w:rsid w:val="009012F7"/>
    <w:rsid w:val="009E3F8D"/>
    <w:rsid w:val="00A453CA"/>
    <w:rsid w:val="00A778E7"/>
    <w:rsid w:val="00AC16AA"/>
    <w:rsid w:val="00AD3D15"/>
    <w:rsid w:val="00AF3D08"/>
    <w:rsid w:val="00BB4F0E"/>
    <w:rsid w:val="00C008FE"/>
    <w:rsid w:val="00D44799"/>
    <w:rsid w:val="00E62438"/>
    <w:rsid w:val="00E8784D"/>
    <w:rsid w:val="00E91F4B"/>
    <w:rsid w:val="00ED4A77"/>
    <w:rsid w:val="00F000B8"/>
    <w:rsid w:val="00F022CF"/>
    <w:rsid w:val="00FB55BF"/>
    <w:rsid w:val="00FC3D7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B88C5"/>
  <w15:chartTrackingRefBased/>
  <w15:docId w15:val="{4533B64F-C35F-450A-94EA-CD7DA91E0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6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6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6243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6243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6243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6243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6243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6243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6243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6243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6243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6243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6243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6243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6243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6243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6243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62438"/>
    <w:rPr>
      <w:rFonts w:eastAsiaTheme="majorEastAsia" w:cstheme="majorBidi"/>
      <w:color w:val="272727" w:themeColor="text1" w:themeTint="D8"/>
    </w:rPr>
  </w:style>
  <w:style w:type="paragraph" w:styleId="Titolo">
    <w:name w:val="Title"/>
    <w:basedOn w:val="Normale"/>
    <w:next w:val="Normale"/>
    <w:link w:val="TitoloCarattere"/>
    <w:uiPriority w:val="10"/>
    <w:qFormat/>
    <w:rsid w:val="00E6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6243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6243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6243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6243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62438"/>
    <w:rPr>
      <w:i/>
      <w:iCs/>
      <w:color w:val="404040" w:themeColor="text1" w:themeTint="BF"/>
    </w:rPr>
  </w:style>
  <w:style w:type="paragraph" w:styleId="Paragrafoelenco">
    <w:name w:val="List Paragraph"/>
    <w:basedOn w:val="Normale"/>
    <w:uiPriority w:val="34"/>
    <w:qFormat/>
    <w:rsid w:val="00E62438"/>
    <w:pPr>
      <w:ind w:left="720"/>
      <w:contextualSpacing/>
    </w:pPr>
  </w:style>
  <w:style w:type="character" w:styleId="Enfasiintensa">
    <w:name w:val="Intense Emphasis"/>
    <w:basedOn w:val="Carpredefinitoparagrafo"/>
    <w:uiPriority w:val="21"/>
    <w:qFormat/>
    <w:rsid w:val="00E62438"/>
    <w:rPr>
      <w:i/>
      <w:iCs/>
      <w:color w:val="0F4761" w:themeColor="accent1" w:themeShade="BF"/>
    </w:rPr>
  </w:style>
  <w:style w:type="paragraph" w:styleId="Citazioneintensa">
    <w:name w:val="Intense Quote"/>
    <w:basedOn w:val="Normale"/>
    <w:next w:val="Normale"/>
    <w:link w:val="CitazioneintensaCarattere"/>
    <w:uiPriority w:val="30"/>
    <w:qFormat/>
    <w:rsid w:val="00E6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62438"/>
    <w:rPr>
      <w:i/>
      <w:iCs/>
      <w:color w:val="0F4761" w:themeColor="accent1" w:themeShade="BF"/>
    </w:rPr>
  </w:style>
  <w:style w:type="character" w:styleId="Riferimentointenso">
    <w:name w:val="Intense Reference"/>
    <w:basedOn w:val="Carpredefinitoparagrafo"/>
    <w:uiPriority w:val="32"/>
    <w:qFormat/>
    <w:rsid w:val="00E62438"/>
    <w:rPr>
      <w:b/>
      <w:bCs/>
      <w:smallCaps/>
      <w:color w:val="0F4761" w:themeColor="accent1" w:themeShade="BF"/>
      <w:spacing w:val="5"/>
    </w:rPr>
  </w:style>
  <w:style w:type="paragraph" w:styleId="Intestazione">
    <w:name w:val="header"/>
    <w:basedOn w:val="Normale"/>
    <w:link w:val="IntestazioneCarattere"/>
    <w:uiPriority w:val="99"/>
    <w:unhideWhenUsed/>
    <w:rsid w:val="00FB55B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B55BF"/>
  </w:style>
  <w:style w:type="paragraph" w:styleId="Pidipagina">
    <w:name w:val="footer"/>
    <w:basedOn w:val="Normale"/>
    <w:link w:val="PidipaginaCarattere"/>
    <w:uiPriority w:val="99"/>
    <w:unhideWhenUsed/>
    <w:rsid w:val="00FB55B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B55BF"/>
  </w:style>
  <w:style w:type="table" w:styleId="Grigliatabella">
    <w:name w:val="Table Grid"/>
    <w:basedOn w:val="Tabellanormale"/>
    <w:uiPriority w:val="39"/>
    <w:rsid w:val="001D3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unhideWhenUsed/>
    <w:rsid w:val="002F6582"/>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592</TotalTime>
  <Pages>12</Pages>
  <Words>3032</Words>
  <Characters>17283</Characters>
  <Application>Microsoft Office Word</Application>
  <DocSecurity>0</DocSecurity>
  <Lines>144</Lines>
  <Paragraphs>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f.paninforni@campus.unimib.it</dc:creator>
  <cp:keywords/>
  <dc:description/>
  <cp:lastModifiedBy>f.paninforni@campus.unimib.it</cp:lastModifiedBy>
  <cp:revision>12</cp:revision>
  <dcterms:created xsi:type="dcterms:W3CDTF">2026-04-28T09:54:00Z</dcterms:created>
  <dcterms:modified xsi:type="dcterms:W3CDTF">2026-04-29T10:06:00Z</dcterms:modified>
</cp:coreProperties>
</file>