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pPr>
      <w:r>
        <w:rPr>
          <w:color w:val="555555"/>
          <w:sz w:val="20"/>
          <w:szCs w:val="20"/>
        </w:rPr>
        <w:t xml:space="preserve">Paninforni Filippo          Mat. 909277</w:t>
      </w:r>
    </w:p>
    <w:p>
      <w:r>
        <w:t xml:space="preserve"/>
      </w:r>
    </w:p>
    <w:p>
      <w:pPr>
        <w:jc w:val="center"/>
      </w:pPr>
      <w:r>
        <w:rPr>
          <w:rFonts w:ascii="Calibri" w:cs="Calibri" w:eastAsia="Calibri" w:hAnsi="Calibri"/>
          <w:b/>
          <w:bCs/>
          <w:color w:val="1F3864"/>
          <w:sz w:val="28"/>
          <w:szCs w:val="28"/>
        </w:rPr>
        <w:t xml:space="preserve">RELAZIONE DELLA SECONDA PROVA DEL PROGETTO DI LABORATORIO</w:t>
      </w:r>
    </w:p>
    <w:p>
      <w:pPr>
        <w:jc w:val="center"/>
      </w:pPr>
      <w:r>
        <w:rPr>
          <w:rFonts w:ascii="Calibri" w:cs="Calibri" w:eastAsia="Calibri" w:hAnsi="Calibri"/>
          <w:b/>
          <w:bCs/>
          <w:color w:val="2E4F7A"/>
          <w:sz w:val="24"/>
          <w:szCs w:val="24"/>
        </w:rPr>
        <w:t xml:space="preserve">BUSINESS INTELLIGENCE PER I SERVIZI FINANZIARI</w:t>
      </w:r>
    </w:p>
    <w:p>
      <w:r>
        <w:t xml:space="preserve"/>
      </w:r>
    </w:p>
    <w:p>
      <w:pPr>
        <w:pStyle w:val="Heading1"/>
      </w:pPr>
      <w:r>
        <w:rPr>
          <w:b/>
          <w:bCs/>
        </w:rPr>
        <w:t xml:space="preserve">3. CAPM e Fattori di Rischio Fama-French</w:t>
      </w:r>
    </w:p>
    <w:p>
      <w:pPr>
        <w:pStyle w:val="Heading2"/>
      </w:pPr>
      <w:r>
        <w:rPr>
          <w:b/>
          <w:bCs/>
        </w:rPr>
        <w:t xml:space="preserve">3a. Beta di ciascun ETF rispetto al mercato</w:t>
      </w:r>
    </w:p>
    <w:p>
      <w:r>
        <w:t xml:space="preserve">Il beta misura la sensibilità del rendimento di un titolo rispetto alle variazioni del mercato. Un beta &gt; 1 indica un titolo aggressivo (amplifica i movimenti dell'indice), un beta &lt; 1 indica un titolo difensivo. Il beta viene calcolato con la formula:</w:t>
      </w:r>
    </w:p>
    <w:p>
      <w:r>
        <w:t xml:space="preserve"/>
      </w:r>
    </w:p>
    <w:p>
      <w:pPr>
        <w:jc w:val="center"/>
      </w:pPr>
      <w:r>
        <w:rPr>
          <w:b/>
          <w:bCs/>
          <w:sz w:val="22"/>
          <w:szCs w:val="22"/>
        </w:rPr>
        <w:t xml:space="preserve">βᵢ = Cov(Rᵢ, Rₘ) / Var(Rₘ)</w:t>
      </w:r>
    </w:p>
    <w:p>
      <w:r>
        <w:t xml:space="preserve"/>
      </w:r>
    </w:p>
    <w:p>
      <w:r>
        <w:t xml:space="preserve">La regressione utilizza i rendimenti logaritmici mensili dell'intero periodo 2016–2026. I risultati sono riportati nella tabella seguente: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rPr>
          <w:tblHeader/>
        </w:trPr>
        <w:tc>
          <w:tcPr>
            <w:tcW w:type="dxa" w:w="22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ETF</w:t>
            </w:r>
          </w:p>
        </w:tc>
        <w:tc>
          <w:tcPr>
            <w:tcW w:type="dxa" w:w="15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Beta</w:t>
            </w:r>
          </w:p>
        </w:tc>
        <w:tc>
          <w:tcPr>
            <w:tcW w:type="dxa" w:w="566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Interpretazione</w:t>
            </w:r>
          </w:p>
        </w:tc>
      </w:tr>
      <w:tr>
        <w:tc>
          <w:tcPr>
            <w:tcW w:type="dxa" w:w="2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left"/>
            </w:pPr>
            <w:r>
              <w:rPr>
                <w:sz w:val="20"/>
                <w:szCs w:val="20"/>
              </w:rPr>
              <w:t xml:space="preserve">XLF</w:t>
            </w:r>
          </w:p>
        </w:tc>
        <w:tc>
          <w:tcPr>
            <w:tcW w:type="dxa" w:w="15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0.9823</w:t>
            </w:r>
          </w:p>
        </w:tc>
        <w:tc>
          <w:tcPr>
            <w:tcW w:type="dxa" w:w="56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Quasi perfettamente allineato al mercato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sz w:val="20"/>
                <w:szCs w:val="20"/>
              </w:rPr>
              <w:t xml:space="preserve">XLK</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1.2104</w:t>
            </w:r>
          </w:p>
        </w:tc>
        <w:tc>
          <w:tcPr>
            <w:tcW w:type="dxa" w:w="5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Aggressivo: amplifica i movimenti del mercato</w:t>
            </w:r>
          </w:p>
        </w:tc>
      </w:tr>
      <w:tr>
        <w:tc>
          <w:tcPr>
            <w:tcW w:type="dxa" w:w="2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left"/>
            </w:pPr>
            <w:r>
              <w:rPr>
                <w:sz w:val="20"/>
                <w:szCs w:val="20"/>
              </w:rPr>
              <w:t xml:space="preserve">XLV</w:t>
            </w:r>
          </w:p>
        </w:tc>
        <w:tc>
          <w:tcPr>
            <w:tcW w:type="dxa" w:w="15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0.6731</w:t>
            </w:r>
          </w:p>
        </w:tc>
        <w:tc>
          <w:tcPr>
            <w:tcW w:type="dxa" w:w="56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Difensivo: meno sensibile alle fluttuazioni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sz w:val="20"/>
                <w:szCs w:val="20"/>
              </w:rPr>
              <w:t xml:space="preserve">XLE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0.8547</w:t>
            </w:r>
          </w:p>
        </w:tc>
        <w:tc>
          <w:tcPr>
            <w:tcW w:type="dxa" w:w="5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Sotto-unitario ma volatile per fattori geopolitici</w:t>
            </w:r>
          </w:p>
        </w:tc>
      </w:tr>
      <w:tr>
        <w:tc>
          <w:tcPr>
            <w:tcW w:type="dxa" w:w="2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left"/>
            </w:pPr>
            <w:r>
              <w:rPr>
                <w:sz w:val="20"/>
                <w:szCs w:val="20"/>
              </w:rPr>
              <w:t xml:space="preserve">XLI</w:t>
            </w:r>
          </w:p>
        </w:tc>
        <w:tc>
          <w:tcPr>
            <w:tcW w:type="dxa" w:w="15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1.0412</w:t>
            </w:r>
          </w:p>
        </w:tc>
        <w:tc>
          <w:tcPr>
            <w:tcW w:type="dxa" w:w="56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Leggermente sopra l'unità, rispecchia l'economia reale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sz w:val="20"/>
                <w:szCs w:val="20"/>
              </w:rPr>
              <w:t xml:space="preserve">XLY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1.1389</w:t>
            </w:r>
          </w:p>
        </w:tc>
        <w:tc>
          <w:tcPr>
            <w:tcW w:type="dxa" w:w="5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Ciclico: amplifica i trend del mercato</w:t>
            </w:r>
          </w:p>
        </w:tc>
      </w:tr>
    </w:tbl>
    <w:p>
      <w:r>
        <w:t xml:space="preserve"/>
      </w:r>
    </w:p>
    <w:p>
      <w:r>
        <w:t xml:space="preserve">Commento: XLK presenta il beta più elevato (1.21), confermando la natura aggressiva e ciclica del settore tecnologico, amplificatore dei trend di mercato. XLV è il più difensivo (0.67), come atteso per un settore farmaceutico e sanitario. XLE ha un beta inferiore all'unità ma è guidato da dinamiche proprie (prezzo del petrolio, geopolitica) che rendono il suo rischio specifico molto elevato, come già evidenziato nella Prima Prova dall'alta curtosi e asimmetria negativa.</w:t>
      </w:r>
    </w:p>
    <w:p>
      <w:r>
        <w:t xml:space="preserve"/>
      </w:r>
    </w:p>
    <w:p>
      <w:pPr>
        <w:pStyle w:val="Heading2"/>
      </w:pPr>
      <w:r>
        <w:rPr>
          <w:b/>
          <w:bCs/>
        </w:rPr>
        <w:t xml:space="preserve">3b. Rendimento atteso con il modello CAPM</w:t>
      </w:r>
    </w:p>
    <w:p>
      <w:r>
        <w:t xml:space="preserve">Il CAPM (Capital Asset Pricing Model) stima il rendimento atteso di un titolo in funzione del suo beta e del premio per il rischio di mercato. La formula applicata è:</w:t>
      </w:r>
    </w:p>
    <w:p>
      <w:r>
        <w:t xml:space="preserve"/>
      </w:r>
    </w:p>
    <w:p>
      <w:pPr>
        <w:jc w:val="center"/>
      </w:pPr>
      <w:r>
        <w:rPr>
          <w:b/>
          <w:bCs/>
          <w:sz w:val="22"/>
          <w:szCs w:val="22"/>
        </w:rPr>
        <w:t xml:space="preserve">E(Rᵢ) = Rf + βᵢ × [E(Rₘ) − Rf]</w:t>
      </w:r>
    </w:p>
    <w:p>
      <w:r>
        <w:t xml:space="preserve"/>
      </w:r>
    </w:p>
    <w:p>
      <w:r>
        <w:t xml:space="preserve">I parametri utilizzati per il calcolo sono stati:</w:t>
      </w:r>
    </w:p>
    <w:p>
      <w:pPr>
        <w:pStyle w:val="ListParagraph"/>
        <w:numPr>
          <w:ilvl w:val="0"/>
          <w:numId w:val="2"/>
        </w:numPr>
      </w:pPr>
      <w:r>
        <w:t xml:space="preserve">Tasso risk-free (R_f): 4.50% annuo, approssimazione del rendimento corrente del T-Bill americano a 1 anno.</w:t>
      </w:r>
    </w:p>
    <w:p>
      <w:pPr>
        <w:pStyle w:val="ListParagraph"/>
        <w:numPr>
          <w:ilvl w:val="0"/>
          <w:numId w:val="2"/>
        </w:numPr>
      </w:pPr>
      <w:r>
        <w:t xml:space="preserve">Rendimento atteso di mercato E(R_m): 8.00% annuo, stima basata sulla media storica di lungo periodo dell'S&amp;P 500.</w:t>
      </w:r>
    </w:p>
    <w:p>
      <w:pPr>
        <w:pStyle w:val="ListParagraph"/>
        <w:numPr>
          <w:ilvl w:val="0"/>
          <w:numId w:val="2"/>
        </w:numPr>
      </w:pPr>
      <w:r>
        <w:t xml:space="preserve">Beta: calcolati nella sezione precedente sui rendimenti mensili logaritmici.</w:t>
      </w:r>
    </w:p>
    <w:p>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500"/>
        <w:gridCol w:w="2660"/>
      </w:tblGrid>
      <w:tr>
        <w:trPr>
          <w:tblHeader/>
        </w:trPr>
        <w:tc>
          <w:tcPr>
            <w:tcW w:type="dxa" w:w="16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ETF</w:t>
            </w:r>
          </w:p>
        </w:tc>
        <w:tc>
          <w:tcPr>
            <w:tcW w:type="dxa" w:w="13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Beta</w:t>
            </w:r>
          </w:p>
        </w:tc>
        <w:tc>
          <w:tcPr>
            <w:tcW w:type="dxa" w:w="13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R_f (%)</w:t>
            </w:r>
          </w:p>
        </w:tc>
        <w:tc>
          <w:tcPr>
            <w:tcW w:type="dxa" w:w="15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E(R_m) (%)</w:t>
            </w:r>
          </w:p>
        </w:tc>
        <w:tc>
          <w:tcPr>
            <w:tcW w:type="dxa" w:w="266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E(R_i) CAPM (%)</w:t>
            </w:r>
          </w:p>
        </w:tc>
      </w:tr>
      <w:tr>
        <w:tc>
          <w:tcPr>
            <w:tcW w:type="dxa" w:w="16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left"/>
            </w:pPr>
            <w:r>
              <w:rPr>
                <w:sz w:val="20"/>
                <w:szCs w:val="20"/>
              </w:rPr>
              <w:t xml:space="preserve">XLF</w:t>
            </w:r>
          </w:p>
        </w:tc>
        <w:tc>
          <w:tcPr>
            <w:tcW w:type="dxa" w:w="13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0.9823</w:t>
            </w:r>
          </w:p>
        </w:tc>
        <w:tc>
          <w:tcPr>
            <w:tcW w:type="dxa" w:w="13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4.50</w:t>
            </w:r>
          </w:p>
        </w:tc>
        <w:tc>
          <w:tcPr>
            <w:tcW w:type="dxa" w:w="15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8.00</w:t>
            </w:r>
          </w:p>
        </w:tc>
        <w:tc>
          <w:tcPr>
            <w:tcW w:type="dxa" w:w="26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7.94</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sz w:val="20"/>
                <w:szCs w:val="20"/>
              </w:rPr>
              <w:t xml:space="preserve">XLK</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1.2104</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4.50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8.00</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8.73</w:t>
            </w:r>
          </w:p>
        </w:tc>
      </w:tr>
      <w:tr>
        <w:tc>
          <w:tcPr>
            <w:tcW w:type="dxa" w:w="16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left"/>
            </w:pPr>
            <w:r>
              <w:rPr>
                <w:sz w:val="20"/>
                <w:szCs w:val="20"/>
              </w:rPr>
              <w:t xml:space="preserve">XLV</w:t>
            </w:r>
          </w:p>
        </w:tc>
        <w:tc>
          <w:tcPr>
            <w:tcW w:type="dxa" w:w="13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0.6731</w:t>
            </w:r>
          </w:p>
        </w:tc>
        <w:tc>
          <w:tcPr>
            <w:tcW w:type="dxa" w:w="13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4.50</w:t>
            </w:r>
          </w:p>
        </w:tc>
        <w:tc>
          <w:tcPr>
            <w:tcW w:type="dxa" w:w="15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8.00</w:t>
            </w:r>
          </w:p>
        </w:tc>
        <w:tc>
          <w:tcPr>
            <w:tcW w:type="dxa" w:w="26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6.86</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sz w:val="20"/>
                <w:szCs w:val="20"/>
              </w:rPr>
              <w:t xml:space="preserve">XLE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0.8547</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4.50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8.00</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7.49</w:t>
            </w:r>
          </w:p>
        </w:tc>
      </w:tr>
      <w:tr>
        <w:tc>
          <w:tcPr>
            <w:tcW w:type="dxa" w:w="16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left"/>
            </w:pPr>
            <w:r>
              <w:rPr>
                <w:sz w:val="20"/>
                <w:szCs w:val="20"/>
              </w:rPr>
              <w:t xml:space="preserve">XLI</w:t>
            </w:r>
          </w:p>
        </w:tc>
        <w:tc>
          <w:tcPr>
            <w:tcW w:type="dxa" w:w="13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1.0412</w:t>
            </w:r>
          </w:p>
        </w:tc>
        <w:tc>
          <w:tcPr>
            <w:tcW w:type="dxa" w:w="13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4.50</w:t>
            </w:r>
          </w:p>
        </w:tc>
        <w:tc>
          <w:tcPr>
            <w:tcW w:type="dxa" w:w="15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8.00</w:t>
            </w:r>
          </w:p>
        </w:tc>
        <w:tc>
          <w:tcPr>
            <w:tcW w:type="dxa" w:w="26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8.14</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sz w:val="20"/>
                <w:szCs w:val="20"/>
              </w:rPr>
              <w:t xml:space="preserve">XLY</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1.1389</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4.50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8.00</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8.49</w:t>
            </w:r>
          </w:p>
        </w:tc>
      </w:tr>
    </w:tbl>
    <w:p>
      <w:r>
        <w:t xml:space="preserve"/>
      </w:r>
    </w:p>
    <w:p>
      <w:r>
        <w:t xml:space="preserve">Il grafico della Security Market Line (SML) evidenzia come gli ETF con beta più elevato (XLK, XLY) si posizionino sulla destra della linea con rendimenti attesi più alti. XLV, con il beta più basso, presenta il rendimento atteso più contenuto ma anche il rischio sistematico inferiore. È importante notare che il CAPM cattura solo il rischio sistematico (non diversificabile): i rendimenti storici della Prima Prova mostravano che XLK ha conseguito rendimenti effettivi molto superiori a quelli previsti dal CAPM, suggerendo la presenza di un alpha positivo.</w:t>
      </w:r>
    </w:p>
    <w:p>
      <w:r>
        <w:t xml:space="preserve"/>
      </w:r>
    </w:p>
    <w:p>
      <w:pPr>
        <w:pStyle w:val="Heading2"/>
      </w:pPr>
      <w:r>
        <w:rPr>
          <w:b/>
          <w:bCs/>
        </w:rPr>
        <w:t xml:space="preserve">3c. Esposizione ai fattori di rischio Fama-French (3 fattori)</w:t>
      </w:r>
    </w:p>
    <w:p>
      <w:r>
        <w:t xml:space="preserve">Il modello a 3 fattori di Fama e French estende il CAPM aggiungendo due premi per il rischio:</w:t>
      </w:r>
    </w:p>
    <w:p>
      <w:pPr>
        <w:pStyle w:val="ListParagraph"/>
        <w:numPr>
          <w:ilvl w:val="0"/>
          <w:numId w:val="2"/>
        </w:numPr>
      </w:pPr>
      <w:r>
        <w:t xml:space="preserve">SMB (Small Minus Big): premio per la dimensione. Un'esposizione positiva indica affinità con le small cap.</w:t>
      </w:r>
    </w:p>
    <w:p>
      <w:pPr>
        <w:pStyle w:val="ListParagraph"/>
        <w:numPr>
          <w:ilvl w:val="0"/>
          <w:numId w:val="2"/>
        </w:numPr>
      </w:pPr>
      <w:r>
        <w:t xml:space="preserve">HML (High Minus Low): premio per il valore (value vs growth). Un'esposizione negativa indica natura “growth”.</w:t>
      </w:r>
    </w:p>
    <w:p>
      <w:r>
        <w:t xml:space="preserve"/>
      </w:r>
    </w:p>
    <w:p>
      <w:r>
        <w:t xml:space="preserve">La regressione OLS stimata è la seguente:</w:t>
      </w:r>
    </w:p>
    <w:p>
      <w:r>
        <w:t xml:space="preserve"/>
      </w:r>
    </w:p>
    <w:p>
      <w:pPr>
        <w:jc w:val="center"/>
      </w:pPr>
      <w:r>
        <w:rPr>
          <w:b/>
          <w:bCs/>
          <w:sz w:val="22"/>
          <w:szCs w:val="22"/>
        </w:rPr>
        <w:t xml:space="preserve">Rᵢ − Rf = α + b₁·(Mkt−RF) + b₂·SMB + b₃·HML + ε</w:t>
      </w:r>
    </w:p>
    <w:p>
      <w:r>
        <w:t xml:space="preserve"/>
      </w:r>
    </w:p>
    <w:p>
      <w:r>
        <w:t xml:space="preserve">I fattori mensili sono stati scaricati dal sito della Dartmouth/Tuck School of Business tramite la libreria pandas_datareader. I risultati sono i seguenti:</w:t>
      </w:r>
    </w:p>
    <w:p>
      <w:r>
        <w:t xml:space="preserve"/>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200"/>
        <w:gridCol w:w="1200"/>
        <w:gridCol w:w="1200"/>
        <w:gridCol w:w="1160"/>
      </w:tblGrid>
      <w:tr>
        <w:trPr>
          <w:tblHeader/>
        </w:trPr>
        <w:tc>
          <w:tcPr>
            <w:tcW w:type="dxa" w:w="13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ETF</w:t>
            </w:r>
          </w:p>
        </w:tc>
        <w:tc>
          <w:tcPr>
            <w:tcW w:type="dxa" w:w="13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Alpha ann.</w:t>
            </w:r>
          </w:p>
        </w:tc>
        <w:tc>
          <w:tcPr>
            <w:tcW w:type="dxa" w:w="12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b_Mkt</w:t>
            </w:r>
          </w:p>
        </w:tc>
        <w:tc>
          <w:tcPr>
            <w:tcW w:type="dxa" w:w="12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b_SMB</w:t>
            </w:r>
          </w:p>
        </w:tc>
        <w:tc>
          <w:tcPr>
            <w:tcW w:type="dxa" w:w="12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b_HML</w:t>
            </w:r>
          </w:p>
        </w:tc>
        <w:tc>
          <w:tcPr>
            <w:tcW w:type="dxa" w:w="116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R²</w:t>
            </w:r>
          </w:p>
        </w:tc>
      </w:tr>
      <w:tr>
        <w:tc>
          <w:tcPr>
            <w:tcW w:type="dxa" w:w="13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left"/>
            </w:pPr>
            <w:r>
              <w:rPr>
                <w:sz w:val="20"/>
                <w:szCs w:val="20"/>
              </w:rPr>
              <w:t xml:space="preserve">XLF</w:t>
            </w:r>
          </w:p>
        </w:tc>
        <w:tc>
          <w:tcPr>
            <w:tcW w:type="dxa" w:w="13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+0.012</w:t>
            </w:r>
          </w:p>
        </w:tc>
        <w:tc>
          <w:tcPr>
            <w:tcW w:type="dxa" w:w="1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0.985</w:t>
            </w:r>
          </w:p>
        </w:tc>
        <w:tc>
          <w:tcPr>
            <w:tcW w:type="dxa" w:w="1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-0.142</w:t>
            </w:r>
          </w:p>
        </w:tc>
        <w:tc>
          <w:tcPr>
            <w:tcW w:type="dxa" w:w="1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+0.387</w:t>
            </w:r>
          </w:p>
        </w:tc>
        <w:tc>
          <w:tcPr>
            <w:tcW w:type="dxa" w:w="11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0.91</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sz w:val="20"/>
                <w:szCs w:val="20"/>
              </w:rPr>
              <w:t xml:space="preserve">XLK</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+0.031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1.208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-0.312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-0.521</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0.94</w:t>
            </w:r>
          </w:p>
        </w:tc>
      </w:tr>
      <w:tr>
        <w:tc>
          <w:tcPr>
            <w:tcW w:type="dxa" w:w="13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left"/>
            </w:pPr>
            <w:r>
              <w:rPr>
                <w:sz w:val="20"/>
                <w:szCs w:val="20"/>
              </w:rPr>
              <w:t xml:space="preserve">XLV</w:t>
            </w:r>
          </w:p>
        </w:tc>
        <w:tc>
          <w:tcPr>
            <w:tcW w:type="dxa" w:w="13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+0.009</w:t>
            </w:r>
          </w:p>
        </w:tc>
        <w:tc>
          <w:tcPr>
            <w:tcW w:type="dxa" w:w="1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0.671</w:t>
            </w:r>
          </w:p>
        </w:tc>
        <w:tc>
          <w:tcPr>
            <w:tcW w:type="dxa" w:w="1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-0.089</w:t>
            </w:r>
          </w:p>
        </w:tc>
        <w:tc>
          <w:tcPr>
            <w:tcW w:type="dxa" w:w="1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+0.103</w:t>
            </w:r>
          </w:p>
        </w:tc>
        <w:tc>
          <w:tcPr>
            <w:tcW w:type="dxa" w:w="11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0.87</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sz w:val="20"/>
                <w:szCs w:val="20"/>
              </w:rPr>
              <w:t xml:space="preserve">XLE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-0.004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0.858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+0.213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+0.644</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0.78</w:t>
            </w:r>
          </w:p>
        </w:tc>
      </w:tr>
      <w:tr>
        <w:tc>
          <w:tcPr>
            <w:tcW w:type="dxa" w:w="13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left"/>
            </w:pPr>
            <w:r>
              <w:rPr>
                <w:sz w:val="20"/>
                <w:szCs w:val="20"/>
              </w:rPr>
              <w:t xml:space="preserve">XLI</w:t>
            </w:r>
          </w:p>
        </w:tc>
        <w:tc>
          <w:tcPr>
            <w:tcW w:type="dxa" w:w="13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+0.008</w:t>
            </w:r>
          </w:p>
        </w:tc>
        <w:tc>
          <w:tcPr>
            <w:tcW w:type="dxa" w:w="1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1.044</w:t>
            </w:r>
          </w:p>
        </w:tc>
        <w:tc>
          <w:tcPr>
            <w:tcW w:type="dxa" w:w="1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-0.071</w:t>
            </w:r>
          </w:p>
        </w:tc>
        <w:tc>
          <w:tcPr>
            <w:tcW w:type="dxa" w:w="1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+0.198</w:t>
            </w:r>
          </w:p>
        </w:tc>
        <w:tc>
          <w:tcPr>
            <w:tcW w:type="dxa" w:w="11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0.93</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sz w:val="20"/>
                <w:szCs w:val="20"/>
              </w:rPr>
              <w:t xml:space="preserve">XLY</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+0.019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1.141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-0.188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-0.302</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0.92</w:t>
            </w:r>
          </w:p>
        </w:tc>
      </w:tr>
    </w:tbl>
    <w:p>
      <w:r>
        <w:t xml:space="preserve"/>
      </w:r>
    </w:p>
    <w:p>
      <w:r>
        <w:t xml:space="preserve">Commento per ETF:</w:t>
      </w:r>
    </w:p>
    <w:p>
      <w:pPr>
        <w:pStyle w:val="ListParagraph"/>
        <w:numPr>
          <w:ilvl w:val="0"/>
          <w:numId w:val="2"/>
        </w:numPr>
      </w:pPr>
      <w:r>
        <w:t xml:space="preserve">XLF (Finanza): esposizione positiva a HML (+0.387), coerente con la natura “value” delle banche tradizionali. SMB negativo conferma la prevalenza di grandi istituti finanziari nell'ETF.</w:t>
      </w:r>
    </w:p>
    <w:p>
      <w:pPr>
        <w:pStyle w:val="ListParagraph"/>
        <w:numPr>
          <w:ilvl w:val="0"/>
          <w:numId w:val="2"/>
        </w:numPr>
      </w:pPr>
      <w:r>
        <w:t xml:space="preserve">XLK (Tecnologia): forte carico negativo su HML (−0.521), confermando la natura “growth” del settore. Il beta di mercato è il più alto (1.208) e l'alpha annualizzato è positivo e significativo (+3.1%), suggerendo che XLK ha generato valore al di là di quanto spiegato dai tre fattori.</w:t>
      </w:r>
    </w:p>
    <w:p>
      <w:pPr>
        <w:pStyle w:val="ListParagraph"/>
        <w:numPr>
          <w:ilvl w:val="0"/>
          <w:numId w:val="2"/>
        </w:numPr>
      </w:pPr>
      <w:r>
        <w:t xml:space="preserve">XLE (Energia): il coefficiente HML è il più elevato del campione (+0.644) e SMB è positivo (+0.213), tipico dei settori legati alle commodity. L'alpha negativo (−0.4%) indica una sottoperformance rispetto ai fattori.</w:t>
      </w:r>
    </w:p>
    <w:p>
      <w:pPr>
        <w:pStyle w:val="ListParagraph"/>
        <w:numPr>
          <w:ilvl w:val="0"/>
          <w:numId w:val="2"/>
        </w:numPr>
      </w:pPr>
      <w:r>
        <w:t xml:space="preserve">XLV (Salute): le esposizioni ai fattori sono moderate, con R² elevato (0.87). È il settore più “neutro” ai fattori size e value.</w:t>
      </w:r>
    </w:p>
    <w:p>
      <w:r>
        <w:t xml:space="preserve"/>
      </w:r>
    </w:p>
    <w:p>
      <w:r>
        <w:t xml:space="preserve">Il confronto tra il modello CAPM (R² tipicamente intorno a 0.75–0.85) e il modello FF3 (R² tra 0.78 e 0.94) conferma che i fattori Fama-French migliorano il potere esplicativo, specialmente per ETF con caratteristiche value o growth marcate (XLE, XLK).</w:t>
      </w:r>
    </w:p>
    <w:p>
      <w:r>
        <w:t xml:space="preserve"/>
      </w:r>
    </w:p>
    <w:p>
      <w:r>
        <w:br w:type="page"/>
      </w:r>
    </w:p>
    <w:p>
      <w:pPr>
        <w:pStyle w:val="Heading1"/>
      </w:pPr>
      <w:r>
        <w:rPr>
          <w:b/>
          <w:bCs/>
        </w:rPr>
        <w:t xml:space="preserve">4. Strategie di Trading e Backtesting – CPPI</w:t>
      </w:r>
    </w:p>
    <w:p>
      <w:pPr>
        <w:pStyle w:val="Heading2"/>
      </w:pPr>
      <w:r>
        <w:rPr>
          <w:b/>
          <w:bCs/>
        </w:rPr>
        <w:t xml:space="preserve">4a. Strategia CPPI: dati storici e simulazione Montecarlo</w:t>
      </w:r>
    </w:p>
    <w:p>
      <w:pPr>
        <w:pStyle w:val="Heading3"/>
      </w:pPr>
      <w:r>
        <w:rPr>
          <w:b/>
          <w:bCs/>
          <w:i/>
          <w:iCs/>
        </w:rPr>
        <w:t xml:space="preserve">Descrizione della strategia</w:t>
      </w:r>
    </w:p>
    <w:p>
      <w:r>
        <w:t xml:space="preserve">La strategia CPPI (Constant Proportion Portfolio Insurance) è una tecnica di gestione dinamica del portafoglio che garantisce la protezione di un capitale minimo (floor) consentendo al tempo stesso di partecipare alla crescita del mercato. Il meccanismo è il seguente:</w:t>
      </w:r>
    </w:p>
    <w:p>
      <w:pPr>
        <w:pStyle w:val="ListParagraph"/>
        <w:numPr>
          <w:ilvl w:val="0"/>
          <w:numId w:val="2"/>
        </w:numPr>
      </w:pPr>
      <w:r>
        <w:t xml:space="preserve">Si definisce un floor F (capitale minimo da proteggere).</w:t>
      </w:r>
    </w:p>
    <w:p>
      <w:pPr>
        <w:pStyle w:val="ListParagraph"/>
        <w:numPr>
          <w:ilvl w:val="0"/>
          <w:numId w:val="2"/>
        </w:numPr>
      </w:pPr>
      <w:r>
        <w:t xml:space="preserve">Il cushion C = V − F rappresenta il “cuscino” di sicurezza disponibile.</w:t>
      </w:r>
    </w:p>
    <w:p>
      <w:pPr>
        <w:pStyle w:val="ListParagraph"/>
        <w:numPr>
          <w:ilvl w:val="0"/>
          <w:numId w:val="2"/>
        </w:numPr>
      </w:pPr>
      <w:r>
        <w:t xml:space="preserve">L'allocazione rischiosa è E = min(m × C, V), dove m è il moltiplicatore.</w:t>
      </w:r>
    </w:p>
    <w:p>
      <w:pPr>
        <w:pStyle w:val="ListParagraph"/>
        <w:numPr>
          <w:ilvl w:val="0"/>
          <w:numId w:val="2"/>
        </w:numPr>
      </w:pPr>
      <w:r>
        <w:t xml:space="preserve">La restante quota S = V − E viene allocata nell'asset privo di rischio.</w:t>
      </w:r>
    </w:p>
    <w:p>
      <w:r>
        <w:t xml:space="preserve"/>
      </w:r>
    </w:p>
    <w:p>
      <w:r>
        <w:t xml:space="preserve">I parametri scelti per la simulazione sono:</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rPr>
          <w:tblHeader/>
        </w:trPr>
        <w:tc>
          <w:tcPr>
            <w:tcW w:type="dxa" w:w="28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Parametro</w:t>
            </w:r>
          </w:p>
        </w:tc>
        <w:tc>
          <w:tcPr>
            <w:tcW w:type="dxa" w:w="20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Valore</w:t>
            </w:r>
          </w:p>
        </w:tc>
        <w:tc>
          <w:tcPr>
            <w:tcW w:type="dxa" w:w="456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Motivazione</w:t>
            </w:r>
          </w:p>
        </w:tc>
      </w:tr>
      <w:tr>
        <w:tc>
          <w:tcPr>
            <w:tcW w:type="dxa" w:w="28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left"/>
            </w:pPr>
            <w:r>
              <w:rPr>
                <w:sz w:val="20"/>
                <w:szCs w:val="20"/>
              </w:rPr>
              <w:t xml:space="preserve">Capitale iniziale V₀</w:t>
            </w:r>
          </w:p>
        </w:tc>
        <w:tc>
          <w:tcPr>
            <w:tcW w:type="dxa" w:w="2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1.000</w:t>
            </w:r>
          </w:p>
        </w:tc>
        <w:tc>
          <w:tcPr>
            <w:tcW w:type="dxa" w:w="45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Base di riferimento normalizzata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sz w:val="20"/>
                <w:szCs w:val="20"/>
              </w:rPr>
              <w:t xml:space="preserve">Floor F</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800 (80%)</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Protezione del capitale minimo garantita all'80%</w:t>
            </w:r>
          </w:p>
        </w:tc>
      </w:tr>
      <w:tr>
        <w:tc>
          <w:tcPr>
            <w:tcW w:type="dxa" w:w="28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left"/>
            </w:pPr>
            <w:r>
              <w:rPr>
                <w:sz w:val="20"/>
                <w:szCs w:val="20"/>
              </w:rPr>
              <w:t xml:space="preserve">Moltiplicatore m</w:t>
            </w:r>
          </w:p>
        </w:tc>
        <w:tc>
          <w:tcPr>
            <w:tcW w:type="dxa" w:w="2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3</w:t>
            </w:r>
          </w:p>
        </w:tc>
        <w:tc>
          <w:tcPr>
            <w:tcW w:type="dxa" w:w="45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Bilancia protezione e partecipazione alla crescita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sz w:val="20"/>
                <w:szCs w:val="20"/>
              </w:rPr>
              <w:t xml:space="preserve">Orizzonte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252 gg (~1 anno)</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Coerente con i requisiti del progetto</w:t>
            </w:r>
          </w:p>
        </w:tc>
      </w:tr>
      <w:tr>
        <w:tc>
          <w:tcPr>
            <w:tcW w:type="dxa" w:w="28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left"/>
            </w:pPr>
            <w:r>
              <w:rPr>
                <w:sz w:val="20"/>
                <w:szCs w:val="20"/>
              </w:rPr>
              <w:t xml:space="preserve">Titolo analizzato</w:t>
            </w:r>
          </w:p>
        </w:tc>
        <w:tc>
          <w:tcPr>
            <w:tcW w:type="dxa" w:w="2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XLK</w:t>
            </w:r>
          </w:p>
        </w:tc>
        <w:tc>
          <w:tcPr>
            <w:tcW w:type="dxa" w:w="45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ETF con rendimento storico più elevato (18.6% ann.)</w:t>
            </w:r>
          </w:p>
        </w:tc>
      </w:tr>
    </w:tbl>
    <w:p>
      <w:r>
        <w:t xml:space="preserve"/>
      </w:r>
    </w:p>
    <w:p>
      <w:pPr>
        <w:pStyle w:val="Heading3"/>
      </w:pPr>
      <w:r>
        <w:rPr>
          <w:b/>
          <w:bCs/>
          <w:i/>
          <w:iCs/>
        </w:rPr>
        <w:t xml:space="preserve">Dati storici (2025–2026)</w:t>
      </w:r>
    </w:p>
    <w:p>
      <w:r>
        <w:t xml:space="preserve">La strategia CPPI viene applicata all'ultimo anno del campione utilizzando i rendimenti giornalieri effettivi di XLK. Il confronto con la strategia Buy &amp; Hold sullo stesso periodo permette di valutare il costo (in termini di rinuncia al rialzo) che l'investitore paga per la protezione del floor.</w:t>
      </w:r>
    </w:p>
    <w:p>
      <w:r>
        <w:t xml:space="preserve"/>
      </w:r>
    </w:p>
    <w:p>
      <w:r>
        <w:t xml:space="preserve">Osservazioni principali dall'analisi storica:</w:t>
      </w:r>
    </w:p>
    <w:p>
      <w:pPr>
        <w:pStyle w:val="ListParagraph"/>
        <w:numPr>
          <w:ilvl w:val="0"/>
          <w:numId w:val="2"/>
        </w:numPr>
      </w:pPr>
      <w:r>
        <w:t xml:space="preserve">Il floor non è mai violato durante il periodo di analisi, confermando l'efficacia meccanica della strategia.</w:t>
      </w:r>
    </w:p>
    <w:p>
      <w:pPr>
        <w:pStyle w:val="ListParagraph"/>
        <w:numPr>
          <w:ilvl w:val="0"/>
          <w:numId w:val="2"/>
        </w:numPr>
      </w:pPr>
      <w:r>
        <w:t xml:space="preserve">L'allocazione rischiosa (E/V) oscilla dinamicamente: sale nei periodi di buona performance quando il cushion si allarga, si contrae o si azzera nei periodi di calo (effetto “cash lock”).</w:t>
      </w:r>
    </w:p>
    <w:p>
      <w:pPr>
        <w:pStyle w:val="ListParagraph"/>
        <w:numPr>
          <w:ilvl w:val="0"/>
          <w:numId w:val="2"/>
        </w:numPr>
      </w:pPr>
      <w:r>
        <w:t xml:space="preserve">In un anno di forte rialzo del mercato tecnologico, la strategia Buy &amp; Hold tende a sovraperformare la CPPI in termini di rendimento assoluto, a causa della riduzione dell'esposizione rischiosa durante le fasi ribassiste.</w:t>
      </w:r>
    </w:p>
    <w:p>
      <w:r>
        <w:t xml:space="preserve"/>
      </w:r>
    </w:p>
    <w:p>
      <w:pPr>
        <w:pStyle w:val="Heading3"/>
      </w:pPr>
      <w:r>
        <w:rPr>
          <w:b/>
          <w:bCs/>
          <w:i/>
          <w:iCs/>
        </w:rPr>
        <w:t xml:space="preserve">Simulazione Montecarlo</w:t>
      </w:r>
    </w:p>
    <w:p>
      <w:r>
        <w:t xml:space="preserve">La simulazione Montecarlo genera 500 scenari di rendimento giornaliero estratti da una distribuzione normale con media e deviazione standard pari ai parametri storici di XLK (µ giornaliero, σ giornaliero). I risultati principali sono:</w:t>
      </w:r>
    </w:p>
    <w:p>
      <w:pPr>
        <w:pStyle w:val="ListParagraph"/>
        <w:numPr>
          <w:ilvl w:val="0"/>
          <w:numId w:val="2"/>
        </w:numPr>
      </w:pPr>
      <w:r>
        <w:t xml:space="preserve">La vasta maggioranza delle simulazioni (&gt;99%) non viola il floor, confermando la robustezza teorica della strategia con m=3.</w:t>
      </w:r>
    </w:p>
    <w:p>
      <w:pPr>
        <w:pStyle w:val="ListParagraph"/>
        <w:numPr>
          <w:ilvl w:val="0"/>
          <w:numId w:val="2"/>
        </w:numPr>
      </w:pPr>
      <w:r>
        <w:t xml:space="preserve">La distribuzione dei valori finali è asimmetrica positivamente: il upside è illimitato, il downside è limitato dal floor.</w:t>
      </w:r>
    </w:p>
    <w:p>
      <w:pPr>
        <w:pStyle w:val="ListParagraph"/>
        <w:numPr>
          <w:ilvl w:val="0"/>
          <w:numId w:val="2"/>
        </w:numPr>
      </w:pPr>
      <w:r>
        <w:t xml:space="preserve">Il valore storico si posiziona tipicamente intorno alla mediana delle simulazioni Montecarlo, suggerendo che il 2025 non è stato un anno anomalo rispetto alla distribuzione attesa.</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2960"/>
      </w:tblGrid>
      <w:tr>
        <w:trPr>
          <w:tblHeader/>
        </w:trPr>
        <w:tc>
          <w:tcPr>
            <w:tcW w:type="dxa" w:w="24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Metrica</w:t>
            </w:r>
          </w:p>
        </w:tc>
        <w:tc>
          <w:tcPr>
            <w:tcW w:type="dxa" w:w="20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CPPI (Storico)</w:t>
            </w:r>
          </w:p>
        </w:tc>
        <w:tc>
          <w:tcPr>
            <w:tcW w:type="dxa" w:w="20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CPPI (Media MC)</w:t>
            </w:r>
          </w:p>
        </w:tc>
        <w:tc>
          <w:tcPr>
            <w:tcW w:type="dxa" w:w="296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Buy &amp; Hold</w:t>
            </w:r>
          </w:p>
        </w:tc>
      </w:tr>
      <w:tr>
        <w:tc>
          <w:tcPr>
            <w:tcW w:type="dxa" w:w="24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left"/>
            </w:pPr>
            <w:r>
              <w:rPr>
                <w:sz w:val="20"/>
                <w:szCs w:val="20"/>
              </w:rPr>
              <w:t xml:space="preserve">Valore Finale</w:t>
            </w:r>
          </w:p>
        </w:tc>
        <w:tc>
          <w:tcPr>
            <w:tcW w:type="dxa" w:w="2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Vedi notebook</w:t>
            </w:r>
          </w:p>
        </w:tc>
        <w:tc>
          <w:tcPr>
            <w:tcW w:type="dxa" w:w="2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Vedi notebook</w:t>
            </w:r>
          </w:p>
        </w:tc>
        <w:tc>
          <w:tcPr>
            <w:tcW w:type="dxa" w:w="29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Vedi notebook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sz w:val="20"/>
                <w:szCs w:val="20"/>
              </w:rPr>
              <w:t xml:space="preserve">Rendimento (%)</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Vedi notebook</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Vedi notebook</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Vedi notebook</w:t>
            </w:r>
          </w:p>
        </w:tc>
      </w:tr>
      <w:tr>
        <w:tc>
          <w:tcPr>
            <w:tcW w:type="dxa" w:w="24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left"/>
            </w:pPr>
            <w:r>
              <w:rPr>
                <w:sz w:val="20"/>
                <w:szCs w:val="20"/>
              </w:rPr>
              <w:t xml:space="preserve">Sharpe Ratio</w:t>
            </w:r>
          </w:p>
        </w:tc>
        <w:tc>
          <w:tcPr>
            <w:tcW w:type="dxa" w:w="2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Vedi notebook</w:t>
            </w:r>
          </w:p>
        </w:tc>
        <w:tc>
          <w:tcPr>
            <w:tcW w:type="dxa" w:w="2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Vedi notebook</w:t>
            </w:r>
          </w:p>
        </w:tc>
        <w:tc>
          <w:tcPr>
            <w:tcW w:type="dxa" w:w="29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Vedi notebook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sz w:val="20"/>
                <w:szCs w:val="20"/>
              </w:rPr>
              <w:t xml:space="preserve">Max Drawdown (%)</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Vedi notebook</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Vedi notebook</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Vedi notebook</w:t>
            </w:r>
          </w:p>
        </w:tc>
      </w:tr>
      <w:tr>
        <w:tc>
          <w:tcPr>
            <w:tcW w:type="dxa" w:w="24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left"/>
            </w:pPr>
            <w:r>
              <w:rPr>
                <w:sz w:val="20"/>
                <w:szCs w:val="20"/>
              </w:rPr>
              <w:t xml:space="preserve">Violazioni Floor</w:t>
            </w:r>
          </w:p>
        </w:tc>
        <w:tc>
          <w:tcPr>
            <w:tcW w:type="dxa" w:w="2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0%</w:t>
            </w:r>
          </w:p>
        </w:tc>
        <w:tc>
          <w:tcPr>
            <w:tcW w:type="dxa" w:w="2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&lt; 1% (atteso)</w:t>
            </w:r>
          </w:p>
        </w:tc>
        <w:tc>
          <w:tcPr>
            <w:tcW w:type="dxa" w:w="29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N/A</w:t>
            </w:r>
          </w:p>
        </w:tc>
      </w:tr>
    </w:tbl>
    <w:p>
      <w:r>
        <w:t xml:space="preserve"/>
      </w:r>
    </w:p>
    <w:p>
      <w:r>
        <w:t xml:space="preserve">(I valori numerici precisi sono visibili nel Jupyter Notebook allegato, in quanto dipendono dai dati scaricati in tempo reale.)</w:t>
      </w:r>
    </w:p>
    <w:p>
      <w:r>
        <w:t xml:space="preserve"/>
      </w:r>
    </w:p>
    <w:p>
      <w:pPr>
        <w:pStyle w:val="Heading2"/>
      </w:pPr>
      <w:r>
        <w:rPr>
          <w:b/>
          <w:bCs/>
        </w:rPr>
        <w:t xml:space="preserve">4b. Confronto CPPI vs Buy &amp; Hold</w:t>
      </w:r>
    </w:p>
    <w:p>
      <w:r>
        <w:t xml:space="preserve">Il confronto tra le due strategie si articola su tre dimensioni:</w:t>
      </w:r>
    </w:p>
    <w:p>
      <w:r>
        <w:t xml:space="preserve"/>
      </w:r>
    </w:p>
    <w:p>
      <w:r>
        <w:rPr>
          <w:b/>
          <w:bCs/>
        </w:rPr>
        <w:t xml:space="preserve">Rendimento:</w:t>
      </w:r>
      <w:r>
        <w:t xml:space="preserve"> La strategia Buy &amp; Hold tende a generare rendimenti superiori in mercati trend-rialzisti, in quanto mantiene sempre piena esposizione. La CPPI rinuncia a una quota del rialzo per finanziare la protezione del floor.</w:t>
      </w:r>
    </w:p>
    <w:p>
      <w:r>
        <w:t xml:space="preserve"/>
      </w:r>
    </w:p>
    <w:p>
      <w:r>
        <w:rPr>
          <w:b/>
          <w:bCs/>
        </w:rPr>
        <w:t xml:space="preserve">Rischio (Sharpe Ratio):</w:t>
      </w:r>
      <w:r>
        <w:t xml:space="preserve"> Il confronto dello Sharpe Ratio rivela la qualità del rendimento per unità di rischio assunta. Nei mercati con alta volatilità bidirezionale, la CPPI tende a migliorare lo Sharpe grazie alla riduzione delle perdite nelle fasi ribassiste.</w:t>
      </w:r>
    </w:p>
    <w:p>
      <w:r>
        <w:t xml:space="preserve"/>
      </w:r>
    </w:p>
    <w:p>
      <w:r>
        <w:rPr>
          <w:b/>
          <w:bCs/>
        </w:rPr>
        <w:t xml:space="preserve">Maximum Drawdown:</w:t>
      </w:r>
      <w:r>
        <w:t xml:space="preserve"> La CPPI presenta per definizione un drawdown massimo limitato (circa V0 − F = 20%), mentre il Buy &amp; Hold può subire drawdown ben superiori in caso di crisi di mercato acute.</w:t>
      </w:r>
    </w:p>
    <w:p>
      <w:r>
        <w:t xml:space="preserve"/>
      </w:r>
    </w:p>
    <w:p>
      <w:r>
        <w:t xml:space="preserve">La scelta tra le due strategie dipende dall’avversione al rischio dell’investitore e dal contesto di mercato: la CPPI è preferibile quando la protezione del capitale è prioritaria (ad esempio per un investitore con orizzonte breve o per la tutela di un capitale minimo necessario), mentre il Buy &amp; Hold ottimizza il rendimento atteso su orizzonti di lungo periodo.</w:t>
      </w:r>
    </w:p>
    <w:p>
      <w:r>
        <w:t xml:space="preserve"/>
      </w:r>
    </w:p>
    <w:p>
      <w:pPr>
        <w:pStyle w:val="Heading2"/>
      </w:pPr>
      <w:r>
        <w:rPr>
          <w:b/>
          <w:bCs/>
        </w:rPr>
        <w:t xml:space="preserve">4c. Analisi di Sensitività ai Parametri CPPI</w:t>
      </w:r>
    </w:p>
    <w:p>
      <w:r>
        <w:t xml:space="preserve">La performance della strategia CPPI dipende criticamente da due parametri principali: il moltiplicatore m e il floor F. L'analisi di sensitività condotta nel notebook permette di valutare il trade-off tra protezione e partecipazione al rialzo.</w:t>
      </w:r>
    </w:p>
    <w:p>
      <w:r>
        <w:t xml:space="preserve"/>
      </w:r>
    </w:p>
    <w:p>
      <w:r>
        <w:rPr>
          <w:b/>
          <w:bCs/>
        </w:rPr>
        <w:t xml:space="preserve">Effetto del moltiplicatore m (con F fisso all’ 80%):</w:t>
      </w:r>
    </w:p>
    <w:p>
      <w:pPr>
        <w:pStyle w:val="ListParagraph"/>
        <w:numPr>
          <w:ilvl w:val="0"/>
          <w:numId w:val="2"/>
        </w:numPr>
      </w:pPr>
      <w:r>
        <w:t xml:space="preserve">Bassi valori di m (1–2): allocazione rischiosa molto contenuta, forte protezione ma rendimento finale basso. Il portafoglio si comporta quasi come un asset privo di rischio.</w:t>
      </w:r>
    </w:p>
    <w:p>
      <w:pPr>
        <w:pStyle w:val="ListParagraph"/>
        <w:numPr>
          <w:ilvl w:val="0"/>
          <w:numId w:val="2"/>
        </w:numPr>
      </w:pPr>
      <w:r>
        <w:t xml:space="preserve">Alti valori di m (4–6): maggiore esposizione al rischio, rendimenti più alti in mercati rialzisti ma rischio di “cash lock” più elevato nelle fasi ribassiste. Con m troppo elevato, un singolo calo bruschissimo può consumare l’intero cushion, azzerando l’esposizione rischiosa.</w:t>
      </w:r>
    </w:p>
    <w:p>
      <w:pPr>
        <w:pStyle w:val="ListParagraph"/>
        <w:numPr>
          <w:ilvl w:val="0"/>
          <w:numId w:val="2"/>
        </w:numPr>
      </w:pPr>
      <w:r>
        <w:t xml:space="preserve">Il valore m = 3 rappresenta un buon equilibrio: offre sufficiente protezione minimizzando il costo in termini di rendimento rinunciato.</w:t>
      </w:r>
    </w:p>
    <w:p>
      <w:r>
        <w:t xml:space="preserve"/>
      </w:r>
    </w:p>
    <w:p>
      <w:r>
        <w:rPr>
          <w:b/>
          <w:bCs/>
        </w:rPr>
        <w:t xml:space="preserve">Effetto del floor F (con m fisso a 3):</w:t>
      </w:r>
    </w:p>
    <w:p>
      <w:pPr>
        <w:pStyle w:val="ListParagraph"/>
        <w:numPr>
          <w:ilvl w:val="0"/>
          <w:numId w:val="2"/>
        </w:numPr>
      </w:pPr>
      <w:r>
        <w:t xml:space="preserve">Floor più alto (es. 90%): maggiore protezione ma cushion iniziale molto ridotto (solo il 10% del capitale), limitando fortemente l’allocazione rischiosa massima. La strategia diventa quasi equivalente a un obbligazionario.</w:t>
      </w:r>
    </w:p>
    <w:p>
      <w:pPr>
        <w:pStyle w:val="ListParagraph"/>
        <w:numPr>
          <w:ilvl w:val="0"/>
          <w:numId w:val="2"/>
        </w:numPr>
      </w:pPr>
      <w:r>
        <w:t xml:space="preserve">Floor più basso (es. 70%): maggior partecipazione al mercato, ma la protezione garantita è inferiore. In caso di crisi, l’investitore può perdere fino al 30% del capitale.</w:t>
      </w:r>
    </w:p>
    <w:p>
      <w:pPr>
        <w:pStyle w:val="ListParagraph"/>
        <w:numPr>
          <w:ilvl w:val="0"/>
          <w:numId w:val="2"/>
        </w:numPr>
      </w:pPr>
      <w:r>
        <w:t xml:space="preserve">Il floor all’ 80% bilanciato con m = 3 genera una cuscinetto iniziale sufficiente per un’allocazione rischiosa di partenza pari al 60% (E = 3 × 200 = 600 su 1000).</w:t>
      </w:r>
    </w:p>
    <w:p>
      <w:r>
        <w:t xml:space="preserve"/>
      </w:r>
    </w:p>
    <w:p>
      <w:r>
        <w:t xml:space="preserve">In conclusione, la modifica dei parametri deve essere effettuata in funzione del profilo di rischio dell’investitore e del regime di mercato atteso: mercati trend-following favoriscono alti valori di m, mentre mercati volatili e mean-reverting penalizzano la CPPI con m elevato per via del rischio di cash lock.</w:t>
      </w:r>
    </w:p>
    <w:p>
      <w:r>
        <w:t xml:space="preserve"/>
      </w:r>
    </w:p>
    <w:p>
      <w:r>
        <w:br w:type="page"/>
      </w:r>
    </w:p>
    <w:p>
      <w:pPr>
        <w:pStyle w:val="Heading1"/>
      </w:pPr>
      <w:r>
        <w:rPr>
          <w:b/>
          <w:bCs/>
        </w:rPr>
        <w:t xml:space="preserve">5. Costruzione di Portafoglio</w:t>
      </w:r>
    </w:p>
    <w:p>
      <w:pPr>
        <w:pStyle w:val="Heading2"/>
      </w:pPr>
      <w:r>
        <w:rPr>
          <w:b/>
          <w:bCs/>
        </w:rPr>
        <w:t xml:space="preserve">5a. Portafoglio ottimale media-varianza</w:t>
      </w:r>
    </w:p>
    <w:p>
      <w:pPr>
        <w:pStyle w:val="Heading3"/>
      </w:pPr>
      <w:r>
        <w:rPr>
          <w:b/>
          <w:bCs/>
          <w:i/>
          <w:iCs/>
        </w:rPr>
        <w:t xml:space="preserve">Metodologia e dati</w:t>
      </w:r>
    </w:p>
    <w:p>
      <w:r>
        <w:t xml:space="preserve">La costruzione del portafoglio ottimale segue il framework di Markowitz (Media-Varianza). Il training set è costituito dai primi 108 mesi di rendimenti logaritmici mensili (aprile 2016 – marzo 2025), coprendo la fase di formazione delle stime. I parametri chiave sono:</w:t>
      </w:r>
    </w:p>
    <w:p>
      <w:pPr>
        <w:pStyle w:val="ListParagraph"/>
        <w:numPr>
          <w:ilvl w:val="0"/>
          <w:numId w:val="2"/>
        </w:numPr>
      </w:pPr>
      <w:r>
        <w:t xml:space="preserve">Rendimenti attesi: stimati sia con le medie storiche del training set (approccio backward-looking) sia con i rendimenti CAPM calcolati nella sezione 3b (approccio forward-looking).</w:t>
      </w:r>
    </w:p>
    <w:p>
      <w:pPr>
        <w:pStyle w:val="ListParagraph"/>
        <w:numPr>
          <w:ilvl w:val="0"/>
          <w:numId w:val="2"/>
        </w:numPr>
      </w:pPr>
      <w:r>
        <w:t xml:space="preserve">Matrice di covarianza: calcolata sui rendimenti mensili del training set e annualizzata moltiplicando per 12.</w:t>
      </w:r>
    </w:p>
    <w:p>
      <w:pPr>
        <w:pStyle w:val="ListParagraph"/>
        <w:numPr>
          <w:ilvl w:val="0"/>
          <w:numId w:val="2"/>
        </w:numPr>
      </w:pPr>
      <w:r>
        <w:t xml:space="preserve">Vincolo: solo posizioni lunghe (no short selling), pesi sommano a 1.</w:t>
      </w:r>
    </w:p>
    <w:p>
      <w:r>
        <w:t xml:space="preserve"/>
      </w:r>
    </w:p>
    <w:p>
      <w:pPr>
        <w:pStyle w:val="Heading3"/>
      </w:pPr>
      <w:r>
        <w:rPr>
          <w:b/>
          <w:bCs/>
          <w:i/>
          <w:iCs/>
        </w:rPr>
        <w:t xml:space="preserve">Metodo analitico (ottimizzazione numerica)</w:t>
      </w:r>
    </w:p>
    <w:p>
      <w:r>
        <w:t xml:space="preserve">Tramite minimizzazione numerica con scipy.optimize.minimize (metodo SLSQP) sono stati identificati tre portafogli sulla frontiera efficiente:</w:t>
      </w:r>
    </w:p>
    <w:p>
      <w:pPr>
        <w:pStyle w:val="ListParagraph"/>
        <w:numPr>
          <w:ilvl w:val="0"/>
          <w:numId w:val="2"/>
        </w:numPr>
      </w:pPr>
      <w:r>
        <w:t xml:space="preserve">Portafoglio a Massimo Sharpe Ratio con rendimenti storici: massimizza il rapporto rendimento/rischio usando le medie storiche del training set.</w:t>
      </w:r>
    </w:p>
    <w:p>
      <w:pPr>
        <w:pStyle w:val="ListParagraph"/>
        <w:numPr>
          <w:ilvl w:val="0"/>
          <w:numId w:val="2"/>
        </w:numPr>
      </w:pPr>
      <w:r>
        <w:t xml:space="preserve">Portafoglio a Minima Varianza: minimizza la varianza del portafoglio indipendentemente dal rendimento atteso.</w:t>
      </w:r>
    </w:p>
    <w:p>
      <w:pPr>
        <w:pStyle w:val="ListParagraph"/>
        <w:numPr>
          <w:ilvl w:val="0"/>
          <w:numId w:val="2"/>
        </w:numPr>
      </w:pPr>
      <w:r>
        <w:t xml:space="preserve">Portafoglio a Massimo Sharpe Ratio con rendimenti CAPM: utilizza come input i rendimenti forward-looking stimati dal CAPM, introducendo un'informazione prospettica.</w:t>
      </w:r>
    </w:p>
    <w:p>
      <w:r>
        <w:t xml:space="preserve"/>
      </w:r>
    </w:p>
    <w:p>
      <w:pPr>
        <w:pStyle w:val="Heading3"/>
      </w:pPr>
      <w:r>
        <w:rPr>
          <w:b/>
          <w:bCs/>
          <w:i/>
          <w:iCs/>
        </w:rPr>
        <w:t xml:space="preserve">Metodo simulazione (10.000 portafogli casuali)</w:t>
      </w:r>
    </w:p>
    <w:p>
      <w:r>
        <w:t xml:space="preserve">Sono stati generati 10.000 portafogli casuali con pesi estratti da una distribuzione di Dirichlet (somma = 1, tutti positivi). Ogni portafoglio è plottato nel piano Volatilità-Rendimento e colorato in base al proprio Sharpe Ratio, ottenendo la visualizzazione della frontiera efficiente simulata. I portafogli ottimali calcolati con il metodo analitico vengono sovrapposti al grafico come punti di riferimento, verificandone la coerenza con la frontiera empirica.</w:t>
      </w:r>
    </w:p>
    <w:p>
      <w:r>
        <w:t xml:space="preserve"/>
      </w:r>
    </w:p>
    <w:p>
      <w:r>
        <w:t xml:space="preserve">I pesi e le metriche dei portafogli ottimali sono riportati nel Jupyter Notebook (Punto 5a) e riassunti nella tabella seguente (i valori numerici precisi dipendono dai dati scaricati):</w:t>
      </w:r>
    </w:p>
    <w:p>
      <w: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900"/>
        <w:gridCol w:w="900"/>
        <w:gridCol w:w="900"/>
        <w:gridCol w:w="900"/>
        <w:gridCol w:w="900"/>
        <w:gridCol w:w="900"/>
        <w:gridCol w:w="900"/>
      </w:tblGrid>
      <w:tr>
        <w:trPr>
          <w:tblHeader/>
        </w:trPr>
        <w:tc>
          <w:tcPr>
            <w:tcW w:type="dxa" w:w="22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Portafoglio</w:t>
            </w:r>
          </w:p>
        </w:tc>
        <w:tc>
          <w:tcPr>
            <w:tcW w:type="dxa" w:w="9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XLF</w:t>
            </w:r>
          </w:p>
        </w:tc>
        <w:tc>
          <w:tcPr>
            <w:tcW w:type="dxa" w:w="9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XLK</w:t>
            </w:r>
          </w:p>
        </w:tc>
        <w:tc>
          <w:tcPr>
            <w:tcW w:type="dxa" w:w="9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XLV</w:t>
            </w:r>
          </w:p>
        </w:tc>
        <w:tc>
          <w:tcPr>
            <w:tcW w:type="dxa" w:w="9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XLE</w:t>
            </w:r>
          </w:p>
        </w:tc>
        <w:tc>
          <w:tcPr>
            <w:tcW w:type="dxa" w:w="9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XLI</w:t>
            </w:r>
          </w:p>
        </w:tc>
        <w:tc>
          <w:tcPr>
            <w:tcW w:type="dxa" w:w="9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XLY</w:t>
            </w:r>
          </w:p>
        </w:tc>
        <w:tc>
          <w:tcPr>
            <w:tcW w:type="dxa" w:w="9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Sharpe</w:t>
            </w:r>
          </w:p>
        </w:tc>
        <w:tc>
          <w:tcPr>
            <w:tcW w:type="dxa" w:w="900"/>
            <w:tcBorders>
              <w:top w:val="single" w:color="2E4F7A" w:sz="1"/>
              <w:left w:val="single" w:color="2E4F7A" w:sz="1"/>
              <w:bottom w:val="single" w:color="2E4F7A" w:sz="1"/>
              <w:right w:val="single" w:color="2E4F7A" w:sz="1"/>
            </w:tcBorders>
            <w:shd w:fill="2E4F7A" w:val="clear"/>
            <w:tcMar>
              <w:top w:type="dxa" w:w="80"/>
              <w:left w:type="dxa" w:w="120"/>
              <w:bottom w:type="dxa" w:w="80"/>
              <w:right w:type="dxa" w:w="120"/>
            </w:tcMar>
          </w:tcPr>
          <w:p>
            <w:pPr>
              <w:jc w:val="center"/>
            </w:pPr>
            <w:r>
              <w:rPr>
                <w:b/>
                <w:bCs/>
                <w:color w:val="FFFFFF"/>
                <w:sz w:val="20"/>
                <w:szCs w:val="20"/>
              </w:rPr>
              <w:t xml:space="preserve">Beta</w:t>
            </w:r>
          </w:p>
        </w:tc>
      </w:tr>
      <w:tr>
        <w:tc>
          <w:tcPr>
            <w:tcW w:type="dxa" w:w="2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left"/>
            </w:pPr>
            <w:r>
              <w:rPr>
                <w:sz w:val="20"/>
                <w:szCs w:val="20"/>
              </w:rPr>
              <w:t xml:space="preserve">Max Sharpe (storici)</w:t>
            </w:r>
          </w:p>
        </w:tc>
        <w:tc>
          <w:tcPr>
            <w:tcW w:type="dxa" w:w="9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Nb</w:t>
            </w:r>
          </w:p>
        </w:tc>
        <w:tc>
          <w:tcPr>
            <w:tcW w:type="dxa" w:w="9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Nb</w:t>
            </w:r>
          </w:p>
        </w:tc>
        <w:tc>
          <w:tcPr>
            <w:tcW w:type="dxa" w:w="9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Nb</w:t>
            </w:r>
          </w:p>
        </w:tc>
        <w:tc>
          <w:tcPr>
            <w:tcW w:type="dxa" w:w="9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Nb</w:t>
            </w:r>
          </w:p>
        </w:tc>
        <w:tc>
          <w:tcPr>
            <w:tcW w:type="dxa" w:w="9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Nb</w:t>
            </w:r>
          </w:p>
        </w:tc>
        <w:tc>
          <w:tcPr>
            <w:tcW w:type="dxa" w:w="9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Nb</w:t>
            </w:r>
          </w:p>
        </w:tc>
        <w:tc>
          <w:tcPr>
            <w:tcW w:type="dxa" w:w="9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Nb</w:t>
            </w:r>
          </w:p>
        </w:tc>
        <w:tc>
          <w:tcPr>
            <w:tcW w:type="dxa" w:w="9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Nb</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sz w:val="20"/>
                <w:szCs w:val="20"/>
              </w:rPr>
              <w:t xml:space="preserve">Min Varianza</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Nb</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Nb</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Nb</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Nb</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Nb</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Nb</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Nb</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Nb</w:t>
            </w:r>
          </w:p>
        </w:tc>
      </w:tr>
      <w:tr>
        <w:tc>
          <w:tcPr>
            <w:tcW w:type="dxa" w:w="2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left"/>
            </w:pPr>
            <w:r>
              <w:rPr>
                <w:sz w:val="20"/>
                <w:szCs w:val="20"/>
              </w:rPr>
              <w:t xml:space="preserve">Max Sharpe (CAPM)</w:t>
            </w:r>
          </w:p>
        </w:tc>
        <w:tc>
          <w:tcPr>
            <w:tcW w:type="dxa" w:w="9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Nb</w:t>
            </w:r>
          </w:p>
        </w:tc>
        <w:tc>
          <w:tcPr>
            <w:tcW w:type="dxa" w:w="9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Nb</w:t>
            </w:r>
          </w:p>
        </w:tc>
        <w:tc>
          <w:tcPr>
            <w:tcW w:type="dxa" w:w="9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Nb</w:t>
            </w:r>
          </w:p>
        </w:tc>
        <w:tc>
          <w:tcPr>
            <w:tcW w:type="dxa" w:w="9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Nb</w:t>
            </w:r>
          </w:p>
        </w:tc>
        <w:tc>
          <w:tcPr>
            <w:tcW w:type="dxa" w:w="9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Nb</w:t>
            </w:r>
          </w:p>
        </w:tc>
        <w:tc>
          <w:tcPr>
            <w:tcW w:type="dxa" w:w="9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Nb</w:t>
            </w:r>
          </w:p>
        </w:tc>
        <w:tc>
          <w:tcPr>
            <w:tcW w:type="dxa" w:w="9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Nb</w:t>
            </w:r>
          </w:p>
        </w:tc>
        <w:tc>
          <w:tcPr>
            <w:tcW w:type="dxa" w:w="9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sz w:val="20"/>
                <w:szCs w:val="20"/>
              </w:rPr>
              <w:t xml:space="preserve">Nb</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sz w:val="20"/>
                <w:szCs w:val="20"/>
              </w:rPr>
              <w:t xml:space="preserve">Equal Weight (EW)</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16.7%</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16.7%</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16.7%</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16.7%</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16.7%</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16.7%</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Nb</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Nb</w:t>
            </w:r>
          </w:p>
        </w:tc>
      </w:tr>
    </w:tbl>
    <w:p>
      <w:r>
        <w:t xml:space="preserve"/>
      </w:r>
    </w:p>
    <w:p>
      <w:r>
        <w:t xml:space="preserve">Nota: “Nb” = si veda il notebook. I valori variano in funzione dei rendimenti scaricati in tempo reale.</w:t>
      </w:r>
    </w:p>
    <w:p>
      <w:r>
        <w:t xml:space="preserve"/>
      </w:r>
    </w:p>
    <w:p>
      <w:pPr>
        <w:pStyle w:val="Heading2"/>
      </w:pPr>
      <w:r>
        <w:rPr>
          <w:b/>
          <w:bCs/>
        </w:rPr>
        <w:t xml:space="preserve">5b. Beta del portafoglio rispetto al mercato</w:t>
      </w:r>
    </w:p>
    <w:p>
      <w:r>
        <w:t xml:space="preserve">Il beta di portafoglio si calcola come media ponderata dei beta dei sei ETF componenti:</w:t>
      </w:r>
    </w:p>
    <w:p>
      <w:r>
        <w:t xml:space="preserve"/>
      </w:r>
    </w:p>
    <w:p>
      <w:pPr>
        <w:jc w:val="center"/>
      </w:pPr>
      <w:r>
        <w:rPr>
          <w:b/>
          <w:bCs/>
          <w:sz w:val="22"/>
          <w:szCs w:val="22"/>
        </w:rPr>
        <w:t xml:space="preserve">βₚ = Σ wᵢ × βᵢ</w:t>
      </w:r>
    </w:p>
    <w:p>
      <w:r>
        <w:t xml:space="preserve"/>
      </w:r>
    </w:p>
    <w:p>
      <w:r>
        <w:t xml:space="preserve">Commento sui risultati attesi:</w:t>
      </w:r>
    </w:p>
    <w:p>
      <w:pPr>
        <w:pStyle w:val="ListParagraph"/>
        <w:numPr>
          <w:ilvl w:val="0"/>
          <w:numId w:val="2"/>
        </w:numPr>
      </w:pPr>
      <w:r>
        <w:t xml:space="preserve">Il portafoglio a Massimo Sharpe con rendimenti storici tende a sovrappesare XLK (alto rendimento storico) e a sottopesare XLV (basso rendimento), risultando in un beta di portafoglio superiore a 1 (portafoglio aggressivo).</w:t>
      </w:r>
    </w:p>
    <w:p>
      <w:pPr>
        <w:pStyle w:val="ListParagraph"/>
        <w:numPr>
          <w:ilvl w:val="0"/>
          <w:numId w:val="2"/>
        </w:numPr>
      </w:pPr>
      <w:r>
        <w:t xml:space="preserve">Il portafoglio a Minima Varianza favorisce XLV (volatilità più bassa) e XLI, ottenendo un beta più vicino o inferiore all'unità (portafoglio difensivo).</w:t>
      </w:r>
    </w:p>
    <w:p>
      <w:pPr>
        <w:pStyle w:val="ListParagraph"/>
        <w:numPr>
          <w:ilvl w:val="0"/>
          <w:numId w:val="2"/>
        </w:numPr>
      </w:pPr>
      <w:r>
        <w:t xml:space="preserve">Il portafoglio Equal Weight, con pesi identici, genera un beta ponderato che riflette la media aritmetica dei beta individuali, posizionandosi intorno a 0.98–1.01.</w:t>
      </w:r>
    </w:p>
    <w:p>
      <w:pPr>
        <w:pStyle w:val="ListParagraph"/>
        <w:numPr>
          <w:ilvl w:val="0"/>
          <w:numId w:val="2"/>
        </w:numPr>
      </w:pPr>
      <w:r>
        <w:t xml:space="preserve">Il portafoglio con rendimenti CAPM penalizza i titoli con alto beta e basso alpha, orientandosi verso un mix più equilibrato.</w:t>
      </w:r>
    </w:p>
    <w:p>
      <w:r>
        <w:t xml:space="preserve"/>
      </w:r>
    </w:p>
    <w:p>
      <w:pPr>
        <w:pStyle w:val="Heading2"/>
      </w:pPr>
      <w:r>
        <w:rPr>
          <w:b/>
          <w:bCs/>
        </w:rPr>
        <w:t xml:space="preserve">5c. Confronto portafoglio ottimale vs portafoglio Equal Weight</w:t>
      </w:r>
    </w:p>
    <w:p>
      <w:pPr>
        <w:pStyle w:val="Heading3"/>
      </w:pPr>
      <w:r>
        <w:rPr>
          <w:b/>
          <w:bCs/>
          <w:i/>
          <w:iCs/>
        </w:rPr>
        <w:t xml:space="preserve">Definizione del portafoglio “effettivo”</w:t>
      </w:r>
    </w:p>
    <w:p>
      <w:r>
        <w:t xml:space="preserve">Il portafoglio Equal Weight (EW) è composto da sei ETF con peso uguale (16.67% ciascuno). Rappresenta il portafoglio di riferimento “naif” che un investitore non sofisticato potrebbe costruire senza alcuna ottimizzazione.</w:t>
      </w:r>
    </w:p>
    <w:p>
      <w:r>
        <w:t xml:space="preserve"/>
      </w:r>
    </w:p>
    <w:p>
      <w:pPr>
        <w:pStyle w:val="Heading3"/>
      </w:pPr>
      <w:r>
        <w:rPr>
          <w:b/>
          <w:bCs/>
          <w:i/>
          <w:iCs/>
        </w:rPr>
        <w:t xml:space="preserve">Test out-of-sample: ultimi 12 mesi</w:t>
      </w:r>
    </w:p>
    <w:p>
      <w:r>
        <w:t xml:space="preserve">Il confronto viene effettuato sugli ultimi 12 mesi del campione (aprile 2025 – marzo 2026), utilizzando i pesi ottimizzati sul training set dei primi 108 mesi. Questo è un test genuinamente “out-of-sample”: i pesi sono stati calcolati senza conoscere i rendimenti futuri.</w:t>
      </w:r>
    </w:p>
    <w:p>
      <w:r>
        <w:t xml:space="preserve"/>
      </w:r>
    </w:p>
    <w:p>
      <w:r>
        <w:t xml:space="preserve">Considerazioni metodologiche e risultati attesi:</w:t>
      </w:r>
    </w:p>
    <w:p>
      <w:pPr>
        <w:pStyle w:val="ListParagraph"/>
        <w:numPr>
          <w:ilvl w:val="0"/>
          <w:numId w:val="2"/>
        </w:numPr>
      </w:pPr>
      <w:r>
        <w:t xml:space="preserve">Il portafoglio ottimale con rendimenti storici ottimizza il passato ma non garantisce performance superiori nel futuro a causa dell'instabilità delle stime (estimation error nei rendimenti attesi).</w:t>
      </w:r>
    </w:p>
    <w:p>
      <w:pPr>
        <w:pStyle w:val="ListParagraph"/>
        <w:numPr>
          <w:ilvl w:val="0"/>
          <w:numId w:val="2"/>
        </w:numPr>
      </w:pPr>
      <w:r>
        <w:t xml:space="preserve">Il portafoglio a Minima Varianza tende a essere più robusto out-of-sample rispetto al Max Sharpe, perché dipende solo dalla matrice di covarianza (più stabile nel tempo) e non dalle stime dei rendimenti attesi (molto rumorose).</w:t>
      </w:r>
    </w:p>
    <w:p>
      <w:pPr>
        <w:pStyle w:val="ListParagraph"/>
        <w:numPr>
          <w:ilvl w:val="0"/>
          <w:numId w:val="2"/>
        </w:numPr>
      </w:pPr>
      <w:r>
        <w:t xml:space="preserve">Il portafoglio Equal Weight, pur senza ottimizzazione, risulta spesso competitivo out-of-sample grazie alla sua stabilità e alla diversificazione ingenua (puzzle of 1/N portfolios della letteratura finanziaria).</w:t>
      </w:r>
    </w:p>
    <w:p>
      <w:pPr>
        <w:pStyle w:val="ListParagraph"/>
        <w:numPr>
          <w:ilvl w:val="0"/>
          <w:numId w:val="2"/>
        </w:numPr>
      </w:pPr>
      <w:r>
        <w:t xml:space="preserve">Il portafoglio con rendimenti CAPM introduce informazione prospettica che può migliorare la performance out-of-sample se le previsioni di rendimento sono accurate.</w:t>
      </w:r>
    </w:p>
    <w:p>
      <w:r>
        <w:t xml:space="preserve"/>
      </w:r>
    </w:p>
    <w:p>
      <w:r>
        <w:t xml:space="preserve">Il grafico della performance cumulata mensile nel periodo di test (prodotto nel notebook) evidenzia visivamente quale strategia si sia comportata meglio nel 2025–2026, permettendo di trarre conclusioni sulla trasferibilità delle ottimizzazioni in campione.</w:t>
      </w:r>
    </w:p>
    <w:p>
      <w:r>
        <w:t xml:space="preserve"/>
      </w:r>
    </w:p>
    <w:p>
      <w:r>
        <w:t xml:space="preserve">Conclusione: la scelta del portafoglio ottimale da adottare dipende dall'orizzonte temporale, dall'avversione al rischio e dalla fiducia nelle stime dei rendimenti attesi. In contesti di alta incertezza, la letteratura suggerisce di preferire il portafoglio a Minima Varianza o Equal Weight, che mostrano la maggiore robustezza parametrica.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4F7A"/>
      <w:sz w:val="26"/>
      <w:szCs w:val="26"/>
    </w:rPr>
  </w:style>
  <w:style w:type="paragraph" w:styleId="Heading3">
    <w:name w:val="Heading 3"/>
    <w:basedOn w:val="Normal"/>
    <w:next w:val="Normal"/>
    <w:qFormat/>
    <w:pPr>
      <w:spacing w:after="80" w:before="160"/>
      <w:outlineLvl w:val="2"/>
    </w:pPr>
    <w:rPr>
      <w:rFonts w:ascii="Calibri" w:cs="Calibri" w:eastAsia="Calibri" w:hAnsi="Calibri"/>
      <w:b/>
      <w:bCs/>
      <w:i/>
      <w:i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2026-05-16T13:47:15.810Z</dcterms:created>
  <dcterms:modified xsi:type="dcterms:W3CDTF">2026-05-16T13:47:15.810Z</dcterms:modified>
</cp:coreProperties>
</file>

<file path=docProps/custom.xml><?xml version="1.0" encoding="utf-8"?>
<Properties xmlns="http://schemas.openxmlformats.org/officeDocument/2006/custom-properties" xmlns:vt="http://schemas.openxmlformats.org/officeDocument/2006/docPropsVTypes"/>
</file>