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FFEB98" w14:textId="77777777" w:rsidR="002C4A42" w:rsidRDefault="00000000">
      <w:pPr>
        <w:jc w:val="right"/>
      </w:pPr>
      <w:r>
        <w:rPr>
          <w:color w:val="555555"/>
          <w:sz w:val="20"/>
          <w:szCs w:val="20"/>
        </w:rPr>
        <w:t xml:space="preserve">Paninforni Filippo          </w:t>
      </w:r>
      <w:proofErr w:type="spellStart"/>
      <w:r>
        <w:rPr>
          <w:color w:val="555555"/>
          <w:sz w:val="20"/>
          <w:szCs w:val="20"/>
        </w:rPr>
        <w:t>Mat</w:t>
      </w:r>
      <w:proofErr w:type="spellEnd"/>
      <w:r>
        <w:rPr>
          <w:color w:val="555555"/>
          <w:sz w:val="20"/>
          <w:szCs w:val="20"/>
        </w:rPr>
        <w:t>. 909277</w:t>
      </w:r>
    </w:p>
    <w:p w14:paraId="2CFDDF64" w14:textId="77777777" w:rsidR="002C4A42" w:rsidRDefault="002C4A42"/>
    <w:p w14:paraId="226FC982" w14:textId="77777777" w:rsidR="002C4A42" w:rsidRDefault="00000000">
      <w:pPr>
        <w:jc w:val="center"/>
      </w:pPr>
      <w:r>
        <w:rPr>
          <w:b/>
          <w:bCs/>
          <w:color w:val="1F3864"/>
          <w:sz w:val="28"/>
          <w:szCs w:val="28"/>
        </w:rPr>
        <w:t>RELAZIONE DELLA SECONDA PROVA DEL PROGETTO DI LABORATORIO</w:t>
      </w:r>
    </w:p>
    <w:p w14:paraId="35925353" w14:textId="77777777" w:rsidR="002C4A42" w:rsidRDefault="00000000">
      <w:pPr>
        <w:jc w:val="center"/>
      </w:pPr>
      <w:r>
        <w:rPr>
          <w:b/>
          <w:bCs/>
          <w:color w:val="2E4F7A"/>
          <w:sz w:val="24"/>
          <w:szCs w:val="24"/>
        </w:rPr>
        <w:t>BUSINESS INTELLIGENCE PER I SERVIZI FINANZIARI</w:t>
      </w:r>
    </w:p>
    <w:p w14:paraId="49935B7D" w14:textId="77777777" w:rsidR="002C4A42" w:rsidRDefault="002C4A42"/>
    <w:p w14:paraId="35299710" w14:textId="77777777" w:rsidR="002C4A42" w:rsidRDefault="00000000">
      <w:pPr>
        <w:pStyle w:val="Titolo1"/>
      </w:pPr>
      <w:r>
        <w:t>3. CAPM e Fattori di Rischio Fama-French</w:t>
      </w:r>
    </w:p>
    <w:p w14:paraId="179513B0" w14:textId="77777777" w:rsidR="002C4A42" w:rsidRDefault="00000000">
      <w:pPr>
        <w:pStyle w:val="Titolo2"/>
      </w:pPr>
      <w:r>
        <w:t>3a. Beta di ciascun ETF rispetto al mercato</w:t>
      </w:r>
    </w:p>
    <w:p w14:paraId="4D20F65E" w14:textId="77777777" w:rsidR="002C4A42" w:rsidRDefault="00000000">
      <w:r>
        <w:t>Il beta misura la sensibilità del rendimento di un titolo rispetto alle variazioni del mercato. Un beta &gt; 1 indica un titolo aggressivo (amplifica i movimenti dell'indice), un beta &lt; 1 indica un titolo difensivo. Il beta viene calcolato con la formula:</w:t>
      </w:r>
    </w:p>
    <w:p w14:paraId="04984D2B" w14:textId="77777777" w:rsidR="002C4A42" w:rsidRDefault="002C4A42"/>
    <w:p w14:paraId="61D51601" w14:textId="77777777" w:rsidR="002C4A42" w:rsidRDefault="00000000">
      <w:pPr>
        <w:jc w:val="center"/>
      </w:pPr>
      <w:r>
        <w:rPr>
          <w:b/>
          <w:bCs/>
        </w:rPr>
        <w:t xml:space="preserve">βᵢ = </w:t>
      </w:r>
      <w:proofErr w:type="spellStart"/>
      <w:r>
        <w:rPr>
          <w:b/>
          <w:bCs/>
        </w:rPr>
        <w:t>Cov</w:t>
      </w:r>
      <w:proofErr w:type="spellEnd"/>
      <w:r>
        <w:rPr>
          <w:b/>
          <w:bCs/>
        </w:rPr>
        <w:t>(Rᵢ, Rₘ) / Var(Rₘ)</w:t>
      </w:r>
    </w:p>
    <w:p w14:paraId="46BA04B9" w14:textId="77777777" w:rsidR="002C4A42" w:rsidRDefault="002C4A42"/>
    <w:p w14:paraId="6953F74F" w14:textId="77777777" w:rsidR="002C4A42" w:rsidRDefault="00000000">
      <w:r>
        <w:t>La regressione utilizza i rendimenti logaritmici mensili dell'intero periodo 2016–2026. I risultati sono riportati nella tabella seguente:</w:t>
      </w:r>
    </w:p>
    <w:p w14:paraId="55438430" w14:textId="77777777" w:rsidR="002C4A42" w:rsidRDefault="002C4A4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500"/>
        <w:gridCol w:w="5660"/>
      </w:tblGrid>
      <w:tr w:rsidR="002C4A42" w14:paraId="079868C4" w14:textId="77777777">
        <w:trPr>
          <w:tblHeader/>
        </w:trPr>
        <w:tc>
          <w:tcPr>
            <w:tcW w:w="2200" w:type="dxa"/>
            <w:tcBorders>
              <w:top w:val="single" w:sz="1" w:space="0" w:color="2E4F7A"/>
              <w:left w:val="single" w:sz="1" w:space="0" w:color="2E4F7A"/>
              <w:bottom w:val="single" w:sz="1" w:space="0" w:color="2E4F7A"/>
              <w:right w:val="single" w:sz="1" w:space="0" w:color="2E4F7A"/>
            </w:tcBorders>
            <w:shd w:val="clear" w:color="auto" w:fill="2E4F7A"/>
            <w:tcMar>
              <w:top w:w="80" w:type="dxa"/>
              <w:left w:w="120" w:type="dxa"/>
              <w:bottom w:w="80" w:type="dxa"/>
              <w:right w:w="120" w:type="dxa"/>
            </w:tcMar>
          </w:tcPr>
          <w:p w14:paraId="1A331442" w14:textId="77777777" w:rsidR="002C4A42" w:rsidRDefault="00000000">
            <w:pPr>
              <w:jc w:val="center"/>
            </w:pPr>
            <w:r>
              <w:rPr>
                <w:b/>
                <w:bCs/>
                <w:color w:val="FFFFFF"/>
                <w:sz w:val="20"/>
                <w:szCs w:val="20"/>
              </w:rPr>
              <w:t>ETF</w:t>
            </w:r>
          </w:p>
        </w:tc>
        <w:tc>
          <w:tcPr>
            <w:tcW w:w="1500" w:type="dxa"/>
            <w:tcBorders>
              <w:top w:val="single" w:sz="1" w:space="0" w:color="2E4F7A"/>
              <w:left w:val="single" w:sz="1" w:space="0" w:color="2E4F7A"/>
              <w:bottom w:val="single" w:sz="1" w:space="0" w:color="2E4F7A"/>
              <w:right w:val="single" w:sz="1" w:space="0" w:color="2E4F7A"/>
            </w:tcBorders>
            <w:shd w:val="clear" w:color="auto" w:fill="2E4F7A"/>
            <w:tcMar>
              <w:top w:w="80" w:type="dxa"/>
              <w:left w:w="120" w:type="dxa"/>
              <w:bottom w:w="80" w:type="dxa"/>
              <w:right w:w="120" w:type="dxa"/>
            </w:tcMar>
          </w:tcPr>
          <w:p w14:paraId="349CF441" w14:textId="77777777" w:rsidR="002C4A42" w:rsidRDefault="00000000">
            <w:pPr>
              <w:jc w:val="center"/>
            </w:pPr>
            <w:r>
              <w:rPr>
                <w:b/>
                <w:bCs/>
                <w:color w:val="FFFFFF"/>
                <w:sz w:val="20"/>
                <w:szCs w:val="20"/>
              </w:rPr>
              <w:t>Beta</w:t>
            </w:r>
          </w:p>
        </w:tc>
        <w:tc>
          <w:tcPr>
            <w:tcW w:w="5660" w:type="dxa"/>
            <w:tcBorders>
              <w:top w:val="single" w:sz="1" w:space="0" w:color="2E4F7A"/>
              <w:left w:val="single" w:sz="1" w:space="0" w:color="2E4F7A"/>
              <w:bottom w:val="single" w:sz="1" w:space="0" w:color="2E4F7A"/>
              <w:right w:val="single" w:sz="1" w:space="0" w:color="2E4F7A"/>
            </w:tcBorders>
            <w:shd w:val="clear" w:color="auto" w:fill="2E4F7A"/>
            <w:tcMar>
              <w:top w:w="80" w:type="dxa"/>
              <w:left w:w="120" w:type="dxa"/>
              <w:bottom w:w="80" w:type="dxa"/>
              <w:right w:w="120" w:type="dxa"/>
            </w:tcMar>
          </w:tcPr>
          <w:p w14:paraId="04533802" w14:textId="77777777" w:rsidR="002C4A42" w:rsidRDefault="00000000">
            <w:pPr>
              <w:jc w:val="center"/>
            </w:pPr>
            <w:r>
              <w:rPr>
                <w:b/>
                <w:bCs/>
                <w:color w:val="FFFFFF"/>
                <w:sz w:val="20"/>
                <w:szCs w:val="20"/>
              </w:rPr>
              <w:t>Interpretazione</w:t>
            </w:r>
          </w:p>
        </w:tc>
      </w:tr>
      <w:tr w:rsidR="002C4A42" w14:paraId="5890E970"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CF7D7FA" w14:textId="77777777" w:rsidR="002C4A42" w:rsidRDefault="00000000">
            <w:r>
              <w:rPr>
                <w:sz w:val="20"/>
                <w:szCs w:val="20"/>
              </w:rPr>
              <w:t>XLF</w:t>
            </w:r>
          </w:p>
        </w:tc>
        <w:tc>
          <w:tcPr>
            <w:tcW w:w="15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B259B8A" w14:textId="77777777" w:rsidR="002C4A42" w:rsidRDefault="00000000">
            <w:pPr>
              <w:jc w:val="center"/>
            </w:pPr>
            <w:r>
              <w:rPr>
                <w:sz w:val="20"/>
                <w:szCs w:val="20"/>
              </w:rPr>
              <w:t>1.0572</w:t>
            </w:r>
          </w:p>
        </w:tc>
        <w:tc>
          <w:tcPr>
            <w:tcW w:w="56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CCCD193" w14:textId="77777777" w:rsidR="002C4A42" w:rsidRDefault="00000000">
            <w:pPr>
              <w:jc w:val="center"/>
            </w:pPr>
            <w:r>
              <w:rPr>
                <w:sz w:val="20"/>
                <w:szCs w:val="20"/>
              </w:rPr>
              <w:t>Leggermente sopra l'unità: si muove in linea con il mercato</w:t>
            </w:r>
          </w:p>
        </w:tc>
      </w:tr>
      <w:tr w:rsidR="002C4A42" w14:paraId="54F1A4AA"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586366" w14:textId="77777777" w:rsidR="002C4A42" w:rsidRDefault="00000000">
            <w:r>
              <w:rPr>
                <w:sz w:val="20"/>
                <w:szCs w:val="20"/>
              </w:rPr>
              <w:t>XLK</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EA279B" w14:textId="77777777" w:rsidR="002C4A42" w:rsidRDefault="00000000">
            <w:pPr>
              <w:jc w:val="center"/>
            </w:pPr>
            <w:r>
              <w:rPr>
                <w:sz w:val="20"/>
                <w:szCs w:val="20"/>
              </w:rPr>
              <w:t>1.1376</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FE4033" w14:textId="77777777" w:rsidR="002C4A42" w:rsidRDefault="00000000">
            <w:pPr>
              <w:jc w:val="center"/>
            </w:pPr>
            <w:r>
              <w:rPr>
                <w:sz w:val="20"/>
                <w:szCs w:val="20"/>
              </w:rPr>
              <w:t>Aggressivo: amplifica i movimenti del mercato</w:t>
            </w:r>
          </w:p>
        </w:tc>
      </w:tr>
      <w:tr w:rsidR="002C4A42" w14:paraId="2687FBE0"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546FA2E" w14:textId="77777777" w:rsidR="002C4A42" w:rsidRDefault="00000000">
            <w:r>
              <w:rPr>
                <w:sz w:val="20"/>
                <w:szCs w:val="20"/>
              </w:rPr>
              <w:t>XLV</w:t>
            </w:r>
          </w:p>
        </w:tc>
        <w:tc>
          <w:tcPr>
            <w:tcW w:w="15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EF88A2F" w14:textId="77777777" w:rsidR="002C4A42" w:rsidRDefault="00000000">
            <w:pPr>
              <w:jc w:val="center"/>
            </w:pPr>
            <w:r>
              <w:rPr>
                <w:sz w:val="20"/>
                <w:szCs w:val="20"/>
              </w:rPr>
              <w:t>0.6984</w:t>
            </w:r>
          </w:p>
        </w:tc>
        <w:tc>
          <w:tcPr>
            <w:tcW w:w="56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FD9EDE3" w14:textId="77777777" w:rsidR="002C4A42" w:rsidRDefault="00000000">
            <w:pPr>
              <w:jc w:val="center"/>
            </w:pPr>
            <w:r>
              <w:rPr>
                <w:sz w:val="20"/>
                <w:szCs w:val="20"/>
              </w:rPr>
              <w:t>Difensivo: meno sensibile alle fluttuazioni di mercato</w:t>
            </w:r>
          </w:p>
        </w:tc>
      </w:tr>
      <w:tr w:rsidR="002C4A42" w14:paraId="3EE8E8E3"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D6951E" w14:textId="77777777" w:rsidR="002C4A42" w:rsidRDefault="00000000">
            <w:r>
              <w:rPr>
                <w:sz w:val="20"/>
                <w:szCs w:val="20"/>
              </w:rPr>
              <w:t>XLE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38A72" w14:textId="77777777" w:rsidR="002C4A42" w:rsidRDefault="00000000">
            <w:pPr>
              <w:jc w:val="center"/>
            </w:pPr>
            <w:r>
              <w:rPr>
                <w:sz w:val="20"/>
                <w:szCs w:val="20"/>
              </w:rPr>
              <w:t>1.1074</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831C7F" w14:textId="77777777" w:rsidR="002C4A42" w:rsidRDefault="00000000">
            <w:pPr>
              <w:jc w:val="center"/>
            </w:pPr>
            <w:r>
              <w:rPr>
                <w:sz w:val="20"/>
                <w:szCs w:val="20"/>
              </w:rPr>
              <w:t>Sopra l'unità ma guidato da dinamiche proprie (geopolitica, petrolio)</w:t>
            </w:r>
          </w:p>
        </w:tc>
      </w:tr>
      <w:tr w:rsidR="002C4A42" w14:paraId="1C77DE26"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83B2183" w14:textId="77777777" w:rsidR="002C4A42" w:rsidRDefault="00000000">
            <w:r>
              <w:rPr>
                <w:sz w:val="20"/>
                <w:szCs w:val="20"/>
              </w:rPr>
              <w:t>XLI</w:t>
            </w:r>
          </w:p>
        </w:tc>
        <w:tc>
          <w:tcPr>
            <w:tcW w:w="15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F815848" w14:textId="77777777" w:rsidR="002C4A42" w:rsidRDefault="00000000">
            <w:pPr>
              <w:jc w:val="center"/>
            </w:pPr>
            <w:r>
              <w:rPr>
                <w:sz w:val="20"/>
                <w:szCs w:val="20"/>
              </w:rPr>
              <w:t>1.1198</w:t>
            </w:r>
          </w:p>
        </w:tc>
        <w:tc>
          <w:tcPr>
            <w:tcW w:w="56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024BD1E" w14:textId="77777777" w:rsidR="002C4A42" w:rsidRDefault="00000000">
            <w:pPr>
              <w:jc w:val="center"/>
            </w:pPr>
            <w:r>
              <w:rPr>
                <w:sz w:val="20"/>
                <w:szCs w:val="20"/>
              </w:rPr>
              <w:t>Leggermente aggressivo, rispecchia l'economia reale e il PIL</w:t>
            </w:r>
          </w:p>
        </w:tc>
      </w:tr>
      <w:tr w:rsidR="002C4A42" w14:paraId="5D8093BB"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921EC4" w14:textId="77777777" w:rsidR="002C4A42" w:rsidRDefault="00000000">
            <w:r>
              <w:rPr>
                <w:sz w:val="20"/>
                <w:szCs w:val="20"/>
              </w:rPr>
              <w:t>XLY</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B30797" w14:textId="77777777" w:rsidR="002C4A42" w:rsidRDefault="00000000">
            <w:pPr>
              <w:jc w:val="center"/>
            </w:pPr>
            <w:r>
              <w:rPr>
                <w:sz w:val="20"/>
                <w:szCs w:val="20"/>
              </w:rPr>
              <w:t>1.1871</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370325" w14:textId="77777777" w:rsidR="002C4A42" w:rsidRDefault="00000000">
            <w:pPr>
              <w:jc w:val="center"/>
            </w:pPr>
            <w:r>
              <w:rPr>
                <w:sz w:val="20"/>
                <w:szCs w:val="20"/>
              </w:rPr>
              <w:t>Il più aggressivo: amplifica i trend del mercato (settore ciclico)</w:t>
            </w:r>
          </w:p>
        </w:tc>
      </w:tr>
    </w:tbl>
    <w:p w14:paraId="28B05F5A" w14:textId="77777777" w:rsidR="002C4A42" w:rsidRDefault="002C4A42"/>
    <w:p w14:paraId="1146C130" w14:textId="77777777" w:rsidR="002C4A42" w:rsidRDefault="00000000">
      <w:r>
        <w:t>Commento: XLY presenta il beta più elevato (1.19), confermando la natura ciclica del settore dei consumi discrezionali. XLK segue con 1.14, coerente con la natura aggressiva del tech. Sorprende XLE con beta 1.11, superiore all'unità nonostante sia il settore meno correlato agli altri nella Prima Prova: ciò indica che il rischio sistematico di XLE è elevato e si accompagna a un rischio specifico molto alto (curtosi 17.1, asimmetria -0.97). XLV si conferma il più difensivo (0.70), con un beta significativamente sotto l'unità.</w:t>
      </w:r>
    </w:p>
    <w:p w14:paraId="626DF878" w14:textId="77777777" w:rsidR="002C4A42" w:rsidRDefault="002C4A42"/>
    <w:p w14:paraId="2FE20FFA" w14:textId="77777777" w:rsidR="002C4A42" w:rsidRDefault="00000000">
      <w:pPr>
        <w:pStyle w:val="Titolo2"/>
      </w:pPr>
      <w:r>
        <w:t>3b. Rendimento atteso con il modello CAPM</w:t>
      </w:r>
    </w:p>
    <w:p w14:paraId="0E8BB161" w14:textId="77777777" w:rsidR="002C4A42" w:rsidRDefault="00000000">
      <w:r>
        <w:t>Il CAPM (Capital Asset Pricing Model) stima il rendimento atteso di un titolo in funzione del suo beta e del premio per il rischio di mercato. La formula applicata è:</w:t>
      </w:r>
    </w:p>
    <w:p w14:paraId="20209BA0" w14:textId="77777777" w:rsidR="002C4A42" w:rsidRDefault="002C4A42"/>
    <w:p w14:paraId="1DFF043F" w14:textId="77777777" w:rsidR="002C4A42" w:rsidRDefault="00000000">
      <w:pPr>
        <w:jc w:val="center"/>
      </w:pPr>
      <w:r>
        <w:rPr>
          <w:b/>
          <w:bCs/>
        </w:rPr>
        <w:t xml:space="preserve">E(Rᵢ) = </w:t>
      </w:r>
      <w:proofErr w:type="spellStart"/>
      <w:r>
        <w:rPr>
          <w:b/>
          <w:bCs/>
        </w:rPr>
        <w:t>Rf</w:t>
      </w:r>
      <w:proofErr w:type="spellEnd"/>
      <w:r>
        <w:rPr>
          <w:b/>
          <w:bCs/>
        </w:rPr>
        <w:t xml:space="preserve"> + βᵢ × [E(Rₘ) − </w:t>
      </w:r>
      <w:proofErr w:type="spellStart"/>
      <w:r>
        <w:rPr>
          <w:b/>
          <w:bCs/>
        </w:rPr>
        <w:t>Rf</w:t>
      </w:r>
      <w:proofErr w:type="spellEnd"/>
      <w:r>
        <w:rPr>
          <w:b/>
          <w:bCs/>
        </w:rPr>
        <w:t>]</w:t>
      </w:r>
    </w:p>
    <w:p w14:paraId="5B52A46D" w14:textId="77777777" w:rsidR="002C4A42" w:rsidRDefault="002C4A42"/>
    <w:p w14:paraId="0C7AC4A4" w14:textId="77777777" w:rsidR="002C4A42" w:rsidRDefault="00000000">
      <w:r>
        <w:t>I parametri utilizzati per il calcolo sono stati:</w:t>
      </w:r>
    </w:p>
    <w:p w14:paraId="5CD66F4A" w14:textId="77777777" w:rsidR="002C4A42" w:rsidRDefault="00000000">
      <w:pPr>
        <w:pStyle w:val="Paragrafoelenco"/>
        <w:numPr>
          <w:ilvl w:val="0"/>
          <w:numId w:val="2"/>
        </w:numPr>
      </w:pPr>
      <w:r>
        <w:t>Tasso risk-free (</w:t>
      </w:r>
      <w:proofErr w:type="spellStart"/>
      <w:r>
        <w:t>R_f</w:t>
      </w:r>
      <w:proofErr w:type="spellEnd"/>
      <w:r>
        <w:t>): 4.50% annuo, approssimazione del rendimento corrente del T-Bill americano a 1 anno.</w:t>
      </w:r>
    </w:p>
    <w:p w14:paraId="29784E10" w14:textId="77777777" w:rsidR="002C4A42" w:rsidRDefault="00000000">
      <w:pPr>
        <w:pStyle w:val="Paragrafoelenco"/>
        <w:numPr>
          <w:ilvl w:val="0"/>
          <w:numId w:val="2"/>
        </w:numPr>
      </w:pPr>
      <w:r>
        <w:t>Rendimento atteso di mercato E(</w:t>
      </w:r>
      <w:proofErr w:type="spellStart"/>
      <w:r>
        <w:t>R_m</w:t>
      </w:r>
      <w:proofErr w:type="spellEnd"/>
      <w:r>
        <w:t>): 8.00% annuo, stima basata sulla media storica di lungo periodo dell'S&amp;P 500.</w:t>
      </w:r>
    </w:p>
    <w:p w14:paraId="07579009" w14:textId="77777777" w:rsidR="002C4A42" w:rsidRDefault="00000000">
      <w:pPr>
        <w:pStyle w:val="Paragrafoelenco"/>
        <w:numPr>
          <w:ilvl w:val="0"/>
          <w:numId w:val="2"/>
        </w:numPr>
      </w:pPr>
      <w:r>
        <w:lastRenderedPageBreak/>
        <w:t>Beta: calcolati nella sezione precedente sui rendimenti mensili logaritmici.</w:t>
      </w:r>
    </w:p>
    <w:p w14:paraId="453D630A" w14:textId="77777777" w:rsidR="002C4A42" w:rsidRDefault="002C4A42"/>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300"/>
        <w:gridCol w:w="1300"/>
        <w:gridCol w:w="1500"/>
        <w:gridCol w:w="2660"/>
      </w:tblGrid>
      <w:tr w:rsidR="002C4A42" w14:paraId="103653E0" w14:textId="77777777">
        <w:trPr>
          <w:tblHeader/>
        </w:trPr>
        <w:tc>
          <w:tcPr>
            <w:tcW w:w="1600" w:type="dxa"/>
            <w:tcBorders>
              <w:top w:val="single" w:sz="1" w:space="0" w:color="2E4F7A"/>
              <w:left w:val="single" w:sz="1" w:space="0" w:color="2E4F7A"/>
              <w:bottom w:val="single" w:sz="1" w:space="0" w:color="2E4F7A"/>
              <w:right w:val="single" w:sz="1" w:space="0" w:color="2E4F7A"/>
            </w:tcBorders>
            <w:shd w:val="clear" w:color="auto" w:fill="2E4F7A"/>
            <w:tcMar>
              <w:top w:w="80" w:type="dxa"/>
              <w:left w:w="120" w:type="dxa"/>
              <w:bottom w:w="80" w:type="dxa"/>
              <w:right w:w="120" w:type="dxa"/>
            </w:tcMar>
          </w:tcPr>
          <w:p w14:paraId="5F0D5232" w14:textId="77777777" w:rsidR="002C4A42" w:rsidRDefault="00000000">
            <w:pPr>
              <w:jc w:val="center"/>
            </w:pPr>
            <w:r>
              <w:rPr>
                <w:b/>
                <w:bCs/>
                <w:color w:val="FFFFFF"/>
                <w:sz w:val="20"/>
                <w:szCs w:val="20"/>
              </w:rPr>
              <w:t>ETF</w:t>
            </w:r>
          </w:p>
        </w:tc>
        <w:tc>
          <w:tcPr>
            <w:tcW w:w="1300" w:type="dxa"/>
            <w:tcBorders>
              <w:top w:val="single" w:sz="1" w:space="0" w:color="2E4F7A"/>
              <w:left w:val="single" w:sz="1" w:space="0" w:color="2E4F7A"/>
              <w:bottom w:val="single" w:sz="1" w:space="0" w:color="2E4F7A"/>
              <w:right w:val="single" w:sz="1" w:space="0" w:color="2E4F7A"/>
            </w:tcBorders>
            <w:shd w:val="clear" w:color="auto" w:fill="2E4F7A"/>
            <w:tcMar>
              <w:top w:w="80" w:type="dxa"/>
              <w:left w:w="120" w:type="dxa"/>
              <w:bottom w:w="80" w:type="dxa"/>
              <w:right w:w="120" w:type="dxa"/>
            </w:tcMar>
          </w:tcPr>
          <w:p w14:paraId="1D1720A8" w14:textId="77777777" w:rsidR="002C4A42" w:rsidRDefault="00000000">
            <w:pPr>
              <w:jc w:val="center"/>
            </w:pPr>
            <w:r>
              <w:rPr>
                <w:b/>
                <w:bCs/>
                <w:color w:val="FFFFFF"/>
                <w:sz w:val="20"/>
                <w:szCs w:val="20"/>
              </w:rPr>
              <w:t>Beta</w:t>
            </w:r>
          </w:p>
        </w:tc>
        <w:tc>
          <w:tcPr>
            <w:tcW w:w="1300" w:type="dxa"/>
            <w:tcBorders>
              <w:top w:val="single" w:sz="1" w:space="0" w:color="2E4F7A"/>
              <w:left w:val="single" w:sz="1" w:space="0" w:color="2E4F7A"/>
              <w:bottom w:val="single" w:sz="1" w:space="0" w:color="2E4F7A"/>
              <w:right w:val="single" w:sz="1" w:space="0" w:color="2E4F7A"/>
            </w:tcBorders>
            <w:shd w:val="clear" w:color="auto" w:fill="2E4F7A"/>
            <w:tcMar>
              <w:top w:w="80" w:type="dxa"/>
              <w:left w:w="120" w:type="dxa"/>
              <w:bottom w:w="80" w:type="dxa"/>
              <w:right w:w="120" w:type="dxa"/>
            </w:tcMar>
          </w:tcPr>
          <w:p w14:paraId="1B4C945E" w14:textId="77777777" w:rsidR="002C4A42" w:rsidRDefault="00000000">
            <w:pPr>
              <w:jc w:val="center"/>
            </w:pPr>
            <w:proofErr w:type="spellStart"/>
            <w:r>
              <w:rPr>
                <w:b/>
                <w:bCs/>
                <w:color w:val="FFFFFF"/>
                <w:sz w:val="20"/>
                <w:szCs w:val="20"/>
              </w:rPr>
              <w:t>R_f</w:t>
            </w:r>
            <w:proofErr w:type="spellEnd"/>
            <w:r>
              <w:rPr>
                <w:b/>
                <w:bCs/>
                <w:color w:val="FFFFFF"/>
                <w:sz w:val="20"/>
                <w:szCs w:val="20"/>
              </w:rPr>
              <w:t xml:space="preserve"> (%)</w:t>
            </w:r>
          </w:p>
        </w:tc>
        <w:tc>
          <w:tcPr>
            <w:tcW w:w="1500" w:type="dxa"/>
            <w:tcBorders>
              <w:top w:val="single" w:sz="1" w:space="0" w:color="2E4F7A"/>
              <w:left w:val="single" w:sz="1" w:space="0" w:color="2E4F7A"/>
              <w:bottom w:val="single" w:sz="1" w:space="0" w:color="2E4F7A"/>
              <w:right w:val="single" w:sz="1" w:space="0" w:color="2E4F7A"/>
            </w:tcBorders>
            <w:shd w:val="clear" w:color="auto" w:fill="2E4F7A"/>
            <w:tcMar>
              <w:top w:w="80" w:type="dxa"/>
              <w:left w:w="120" w:type="dxa"/>
              <w:bottom w:w="80" w:type="dxa"/>
              <w:right w:w="120" w:type="dxa"/>
            </w:tcMar>
          </w:tcPr>
          <w:p w14:paraId="63E48AA0" w14:textId="77777777" w:rsidR="002C4A42" w:rsidRDefault="00000000">
            <w:pPr>
              <w:jc w:val="center"/>
            </w:pPr>
            <w:r>
              <w:rPr>
                <w:b/>
                <w:bCs/>
                <w:color w:val="FFFFFF"/>
                <w:sz w:val="20"/>
                <w:szCs w:val="20"/>
              </w:rPr>
              <w:t>E(</w:t>
            </w:r>
            <w:proofErr w:type="spellStart"/>
            <w:r>
              <w:rPr>
                <w:b/>
                <w:bCs/>
                <w:color w:val="FFFFFF"/>
                <w:sz w:val="20"/>
                <w:szCs w:val="20"/>
              </w:rPr>
              <w:t>R_m</w:t>
            </w:r>
            <w:proofErr w:type="spellEnd"/>
            <w:r>
              <w:rPr>
                <w:b/>
                <w:bCs/>
                <w:color w:val="FFFFFF"/>
                <w:sz w:val="20"/>
                <w:szCs w:val="20"/>
              </w:rPr>
              <w:t>) (%)</w:t>
            </w:r>
          </w:p>
        </w:tc>
        <w:tc>
          <w:tcPr>
            <w:tcW w:w="2660" w:type="dxa"/>
            <w:tcBorders>
              <w:top w:val="single" w:sz="1" w:space="0" w:color="2E4F7A"/>
              <w:left w:val="single" w:sz="1" w:space="0" w:color="2E4F7A"/>
              <w:bottom w:val="single" w:sz="1" w:space="0" w:color="2E4F7A"/>
              <w:right w:val="single" w:sz="1" w:space="0" w:color="2E4F7A"/>
            </w:tcBorders>
            <w:shd w:val="clear" w:color="auto" w:fill="2E4F7A"/>
            <w:tcMar>
              <w:top w:w="80" w:type="dxa"/>
              <w:left w:w="120" w:type="dxa"/>
              <w:bottom w:w="80" w:type="dxa"/>
              <w:right w:w="120" w:type="dxa"/>
            </w:tcMar>
          </w:tcPr>
          <w:p w14:paraId="51A709F8" w14:textId="77777777" w:rsidR="002C4A42" w:rsidRDefault="00000000">
            <w:pPr>
              <w:jc w:val="center"/>
            </w:pPr>
            <w:r>
              <w:rPr>
                <w:b/>
                <w:bCs/>
                <w:color w:val="FFFFFF"/>
                <w:sz w:val="20"/>
                <w:szCs w:val="20"/>
              </w:rPr>
              <w:t>E(</w:t>
            </w:r>
            <w:proofErr w:type="spellStart"/>
            <w:r>
              <w:rPr>
                <w:b/>
                <w:bCs/>
                <w:color w:val="FFFFFF"/>
                <w:sz w:val="20"/>
                <w:szCs w:val="20"/>
              </w:rPr>
              <w:t>R_i</w:t>
            </w:r>
            <w:proofErr w:type="spellEnd"/>
            <w:r>
              <w:rPr>
                <w:b/>
                <w:bCs/>
                <w:color w:val="FFFFFF"/>
                <w:sz w:val="20"/>
                <w:szCs w:val="20"/>
              </w:rPr>
              <w:t>) CAPM (%)</w:t>
            </w:r>
          </w:p>
        </w:tc>
      </w:tr>
      <w:tr w:rsidR="002C4A42" w14:paraId="6662EE22" w14:textId="77777777">
        <w:tc>
          <w:tcPr>
            <w:tcW w:w="16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F3C779E" w14:textId="77777777" w:rsidR="002C4A42" w:rsidRDefault="00000000">
            <w:r>
              <w:rPr>
                <w:sz w:val="20"/>
                <w:szCs w:val="20"/>
              </w:rPr>
              <w:t>XLF</w:t>
            </w:r>
          </w:p>
        </w:tc>
        <w:tc>
          <w:tcPr>
            <w:tcW w:w="13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DC5A791" w14:textId="77777777" w:rsidR="002C4A42" w:rsidRDefault="00000000">
            <w:pPr>
              <w:jc w:val="center"/>
            </w:pPr>
            <w:r>
              <w:rPr>
                <w:sz w:val="20"/>
                <w:szCs w:val="20"/>
              </w:rPr>
              <w:t>1.0572</w:t>
            </w:r>
          </w:p>
        </w:tc>
        <w:tc>
          <w:tcPr>
            <w:tcW w:w="13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2BA1DDF" w14:textId="77777777" w:rsidR="002C4A42" w:rsidRDefault="00000000">
            <w:pPr>
              <w:jc w:val="center"/>
            </w:pPr>
            <w:r>
              <w:rPr>
                <w:sz w:val="20"/>
                <w:szCs w:val="20"/>
              </w:rPr>
              <w:t>4.50</w:t>
            </w:r>
          </w:p>
        </w:tc>
        <w:tc>
          <w:tcPr>
            <w:tcW w:w="15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918D6B0" w14:textId="77777777" w:rsidR="002C4A42" w:rsidRDefault="00000000">
            <w:pPr>
              <w:jc w:val="center"/>
            </w:pPr>
            <w:r>
              <w:rPr>
                <w:sz w:val="20"/>
                <w:szCs w:val="20"/>
              </w:rPr>
              <w:t>8.00</w:t>
            </w:r>
          </w:p>
        </w:tc>
        <w:tc>
          <w:tcPr>
            <w:tcW w:w="26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8F1269B" w14:textId="77777777" w:rsidR="002C4A42" w:rsidRDefault="00000000">
            <w:pPr>
              <w:jc w:val="center"/>
            </w:pPr>
            <w:r>
              <w:rPr>
                <w:sz w:val="20"/>
                <w:szCs w:val="20"/>
              </w:rPr>
              <w:t>8.200</w:t>
            </w:r>
          </w:p>
        </w:tc>
      </w:tr>
      <w:tr w:rsidR="002C4A42" w14:paraId="393C66E0"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5688C8" w14:textId="77777777" w:rsidR="002C4A42" w:rsidRDefault="00000000">
            <w:r>
              <w:rPr>
                <w:sz w:val="20"/>
                <w:szCs w:val="20"/>
              </w:rPr>
              <w:t>XLK</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CA5938" w14:textId="77777777" w:rsidR="002C4A42" w:rsidRDefault="00000000">
            <w:pPr>
              <w:jc w:val="center"/>
            </w:pPr>
            <w:r>
              <w:rPr>
                <w:sz w:val="20"/>
                <w:szCs w:val="20"/>
              </w:rPr>
              <w:t>1.1376</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CD76DC" w14:textId="77777777" w:rsidR="002C4A42" w:rsidRDefault="00000000">
            <w:pPr>
              <w:jc w:val="center"/>
            </w:pPr>
            <w:r>
              <w:rPr>
                <w:sz w:val="20"/>
                <w:szCs w:val="20"/>
              </w:rPr>
              <w:t>4.50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55B4A2" w14:textId="77777777" w:rsidR="002C4A42" w:rsidRDefault="00000000">
            <w:pPr>
              <w:jc w:val="center"/>
            </w:pPr>
            <w:r>
              <w:rPr>
                <w:sz w:val="20"/>
                <w:szCs w:val="20"/>
              </w:rPr>
              <w:t>8.00</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FF751B" w14:textId="77777777" w:rsidR="002C4A42" w:rsidRDefault="00000000">
            <w:pPr>
              <w:jc w:val="center"/>
            </w:pPr>
            <w:r>
              <w:rPr>
                <w:sz w:val="20"/>
                <w:szCs w:val="20"/>
              </w:rPr>
              <w:t>8.482</w:t>
            </w:r>
          </w:p>
        </w:tc>
      </w:tr>
      <w:tr w:rsidR="002C4A42" w14:paraId="51E298F6" w14:textId="77777777">
        <w:tc>
          <w:tcPr>
            <w:tcW w:w="16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D435F96" w14:textId="77777777" w:rsidR="002C4A42" w:rsidRDefault="00000000">
            <w:r>
              <w:rPr>
                <w:sz w:val="20"/>
                <w:szCs w:val="20"/>
              </w:rPr>
              <w:t>XLV</w:t>
            </w:r>
          </w:p>
        </w:tc>
        <w:tc>
          <w:tcPr>
            <w:tcW w:w="13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CB6F0E1" w14:textId="77777777" w:rsidR="002C4A42" w:rsidRDefault="00000000">
            <w:pPr>
              <w:jc w:val="center"/>
            </w:pPr>
            <w:r>
              <w:rPr>
                <w:sz w:val="20"/>
                <w:szCs w:val="20"/>
              </w:rPr>
              <w:t>0.6984</w:t>
            </w:r>
          </w:p>
        </w:tc>
        <w:tc>
          <w:tcPr>
            <w:tcW w:w="13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143DD74" w14:textId="77777777" w:rsidR="002C4A42" w:rsidRDefault="00000000">
            <w:pPr>
              <w:jc w:val="center"/>
            </w:pPr>
            <w:r>
              <w:rPr>
                <w:sz w:val="20"/>
                <w:szCs w:val="20"/>
              </w:rPr>
              <w:t>4.50</w:t>
            </w:r>
          </w:p>
        </w:tc>
        <w:tc>
          <w:tcPr>
            <w:tcW w:w="15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3936C66" w14:textId="77777777" w:rsidR="002C4A42" w:rsidRDefault="00000000">
            <w:pPr>
              <w:jc w:val="center"/>
            </w:pPr>
            <w:r>
              <w:rPr>
                <w:sz w:val="20"/>
                <w:szCs w:val="20"/>
              </w:rPr>
              <w:t>8.00</w:t>
            </w:r>
          </w:p>
        </w:tc>
        <w:tc>
          <w:tcPr>
            <w:tcW w:w="26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9B28D45" w14:textId="77777777" w:rsidR="002C4A42" w:rsidRDefault="00000000">
            <w:pPr>
              <w:jc w:val="center"/>
            </w:pPr>
            <w:r>
              <w:rPr>
                <w:sz w:val="20"/>
                <w:szCs w:val="20"/>
              </w:rPr>
              <w:t>6.944</w:t>
            </w:r>
          </w:p>
        </w:tc>
      </w:tr>
      <w:tr w:rsidR="002C4A42" w14:paraId="446A3B37"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12E9CF" w14:textId="77777777" w:rsidR="002C4A42" w:rsidRDefault="00000000">
            <w:r>
              <w:rPr>
                <w:sz w:val="20"/>
                <w:szCs w:val="20"/>
              </w:rPr>
              <w:t>XLE</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A09F3C" w14:textId="77777777" w:rsidR="002C4A42" w:rsidRDefault="00000000">
            <w:pPr>
              <w:jc w:val="center"/>
            </w:pPr>
            <w:r>
              <w:rPr>
                <w:sz w:val="20"/>
                <w:szCs w:val="20"/>
              </w:rPr>
              <w:t>1.1074</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09B683" w14:textId="77777777" w:rsidR="002C4A42" w:rsidRDefault="00000000">
            <w:pPr>
              <w:jc w:val="center"/>
            </w:pPr>
            <w:r>
              <w:rPr>
                <w:sz w:val="20"/>
                <w:szCs w:val="20"/>
              </w:rPr>
              <w:t>4.50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AB80C7" w14:textId="77777777" w:rsidR="002C4A42" w:rsidRDefault="00000000">
            <w:pPr>
              <w:jc w:val="center"/>
            </w:pPr>
            <w:r>
              <w:rPr>
                <w:sz w:val="20"/>
                <w:szCs w:val="20"/>
              </w:rPr>
              <w:t>8.00</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782D2F" w14:textId="77777777" w:rsidR="002C4A42" w:rsidRDefault="00000000">
            <w:pPr>
              <w:jc w:val="center"/>
            </w:pPr>
            <w:r>
              <w:rPr>
                <w:sz w:val="20"/>
                <w:szCs w:val="20"/>
              </w:rPr>
              <w:t>8.376</w:t>
            </w:r>
          </w:p>
        </w:tc>
      </w:tr>
      <w:tr w:rsidR="002C4A42" w14:paraId="00282EB1" w14:textId="77777777">
        <w:tc>
          <w:tcPr>
            <w:tcW w:w="16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A6E9056" w14:textId="77777777" w:rsidR="002C4A42" w:rsidRDefault="00000000">
            <w:r>
              <w:rPr>
                <w:sz w:val="20"/>
                <w:szCs w:val="20"/>
              </w:rPr>
              <w:t>XLI</w:t>
            </w:r>
          </w:p>
        </w:tc>
        <w:tc>
          <w:tcPr>
            <w:tcW w:w="13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EA40789" w14:textId="77777777" w:rsidR="002C4A42" w:rsidRDefault="00000000">
            <w:pPr>
              <w:jc w:val="center"/>
            </w:pPr>
            <w:r>
              <w:rPr>
                <w:sz w:val="20"/>
                <w:szCs w:val="20"/>
              </w:rPr>
              <w:t>1.1198</w:t>
            </w:r>
          </w:p>
        </w:tc>
        <w:tc>
          <w:tcPr>
            <w:tcW w:w="13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5C1F9DF" w14:textId="77777777" w:rsidR="002C4A42" w:rsidRDefault="00000000">
            <w:pPr>
              <w:jc w:val="center"/>
            </w:pPr>
            <w:r>
              <w:rPr>
                <w:sz w:val="20"/>
                <w:szCs w:val="20"/>
              </w:rPr>
              <w:t>4.50</w:t>
            </w:r>
          </w:p>
        </w:tc>
        <w:tc>
          <w:tcPr>
            <w:tcW w:w="15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D9BB773" w14:textId="77777777" w:rsidR="002C4A42" w:rsidRDefault="00000000">
            <w:pPr>
              <w:jc w:val="center"/>
            </w:pPr>
            <w:r>
              <w:rPr>
                <w:sz w:val="20"/>
                <w:szCs w:val="20"/>
              </w:rPr>
              <w:t>8.00</w:t>
            </w:r>
          </w:p>
        </w:tc>
        <w:tc>
          <w:tcPr>
            <w:tcW w:w="26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9D9B602" w14:textId="77777777" w:rsidR="002C4A42" w:rsidRDefault="00000000">
            <w:pPr>
              <w:jc w:val="center"/>
            </w:pPr>
            <w:r>
              <w:rPr>
                <w:sz w:val="20"/>
                <w:szCs w:val="20"/>
              </w:rPr>
              <w:t>8.419</w:t>
            </w:r>
          </w:p>
        </w:tc>
      </w:tr>
      <w:tr w:rsidR="002C4A42" w14:paraId="285D843D"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93E61D" w14:textId="77777777" w:rsidR="002C4A42" w:rsidRDefault="00000000">
            <w:r>
              <w:rPr>
                <w:sz w:val="20"/>
                <w:szCs w:val="20"/>
              </w:rPr>
              <w:t>XLY</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EFA7A6" w14:textId="77777777" w:rsidR="002C4A42" w:rsidRDefault="00000000">
            <w:pPr>
              <w:jc w:val="center"/>
            </w:pPr>
            <w:r>
              <w:rPr>
                <w:sz w:val="20"/>
                <w:szCs w:val="20"/>
              </w:rPr>
              <w:t>1.1871</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FF6D9C" w14:textId="77777777" w:rsidR="002C4A42" w:rsidRDefault="00000000">
            <w:pPr>
              <w:jc w:val="center"/>
            </w:pPr>
            <w:r>
              <w:rPr>
                <w:sz w:val="20"/>
                <w:szCs w:val="20"/>
              </w:rPr>
              <w:t>4.50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1CDF80" w14:textId="77777777" w:rsidR="002C4A42" w:rsidRDefault="00000000">
            <w:pPr>
              <w:jc w:val="center"/>
            </w:pPr>
            <w:r>
              <w:rPr>
                <w:sz w:val="20"/>
                <w:szCs w:val="20"/>
              </w:rPr>
              <w:t>8.00</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B70592" w14:textId="77777777" w:rsidR="002C4A42" w:rsidRDefault="00000000">
            <w:pPr>
              <w:jc w:val="center"/>
            </w:pPr>
            <w:r>
              <w:rPr>
                <w:sz w:val="20"/>
                <w:szCs w:val="20"/>
              </w:rPr>
              <w:t>8.655</w:t>
            </w:r>
          </w:p>
        </w:tc>
      </w:tr>
    </w:tbl>
    <w:p w14:paraId="26A6D59A" w14:textId="77777777" w:rsidR="002C4A42" w:rsidRDefault="002C4A42"/>
    <w:p w14:paraId="695D4CAF" w14:textId="77777777" w:rsidR="002C4A42" w:rsidRDefault="00000000">
      <w:r>
        <w:t>Il grafico della Security Market Line (SML) evidenzia come gli ETF con beta più elevato (XLK, XLY) si posizionino sulla destra della linea con rendimenti attesi più alti. XLV, con il beta più basso, presenta il rendimento atteso più contenuto ma anche il rischio sistematico inferiore. È importante notare che il CAPM cattura solo il rischio sistematico (non diversificabile): i rendimenti storici della Prima Prova mostravano che XLK ha conseguito rendimenti effettivi molto superiori a quelli previsti dal CAPM, suggerendo la presenza di un alpha positivo.</w:t>
      </w:r>
    </w:p>
    <w:p w14:paraId="68E98DA4" w14:textId="0AD129B2" w:rsidR="003A2301" w:rsidRDefault="003A2301" w:rsidP="003A2301">
      <w:pPr>
        <w:jc w:val="center"/>
      </w:pPr>
      <w:r>
        <w:rPr>
          <w:noProof/>
        </w:rPr>
        <w:drawing>
          <wp:inline distT="0" distB="0" distL="0" distR="0" wp14:anchorId="15393CC0" wp14:editId="0AFB4FDD">
            <wp:extent cx="4683937" cy="3108960"/>
            <wp:effectExtent l="0" t="0" r="2540" b="0"/>
            <wp:docPr id="87850186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501863" name="Immagine 878501863"/>
                    <pic:cNvPicPr/>
                  </pic:nvPicPr>
                  <pic:blipFill>
                    <a:blip r:embed="rId5">
                      <a:extLst>
                        <a:ext uri="{28A0092B-C50C-407E-A947-70E740481C1C}">
                          <a14:useLocalDpi xmlns:a14="http://schemas.microsoft.com/office/drawing/2010/main" val="0"/>
                        </a:ext>
                      </a:extLst>
                    </a:blip>
                    <a:stretch>
                      <a:fillRect/>
                    </a:stretch>
                  </pic:blipFill>
                  <pic:spPr>
                    <a:xfrm>
                      <a:off x="0" y="0"/>
                      <a:ext cx="4696323" cy="3117182"/>
                    </a:xfrm>
                    <a:prstGeom prst="rect">
                      <a:avLst/>
                    </a:prstGeom>
                  </pic:spPr>
                </pic:pic>
              </a:graphicData>
            </a:graphic>
          </wp:inline>
        </w:drawing>
      </w:r>
    </w:p>
    <w:p w14:paraId="3B53CA50" w14:textId="77777777" w:rsidR="002C4A42" w:rsidRDefault="002C4A42"/>
    <w:p w14:paraId="188538C1" w14:textId="77777777" w:rsidR="002C4A42" w:rsidRDefault="00000000">
      <w:pPr>
        <w:pStyle w:val="Titolo2"/>
      </w:pPr>
      <w:r>
        <w:t>3c. Esposizione ai fattori di rischio Fama-French (3 fattori)</w:t>
      </w:r>
    </w:p>
    <w:p w14:paraId="49DF07D9" w14:textId="362C28C2" w:rsidR="002C4A42" w:rsidRDefault="00000000">
      <w:r>
        <w:t xml:space="preserve">Il modello a </w:t>
      </w:r>
      <w:r w:rsidR="001C4B31">
        <w:t>tre</w:t>
      </w:r>
      <w:r>
        <w:t xml:space="preserve"> fattori di Fama e French estende il CAPM aggiungendo due premi per il rischio:</w:t>
      </w:r>
    </w:p>
    <w:p w14:paraId="0C3CF178" w14:textId="77777777" w:rsidR="002C4A42" w:rsidRDefault="00000000">
      <w:pPr>
        <w:pStyle w:val="Paragrafoelenco"/>
        <w:numPr>
          <w:ilvl w:val="0"/>
          <w:numId w:val="2"/>
        </w:numPr>
      </w:pPr>
      <w:r>
        <w:t>SMB (Small Minus Big): premio per la dimensione. Un'esposizione positiva indica affinità con le small cap.</w:t>
      </w:r>
    </w:p>
    <w:p w14:paraId="19082FB6" w14:textId="77777777" w:rsidR="002C4A42" w:rsidRDefault="00000000">
      <w:pPr>
        <w:pStyle w:val="Paragrafoelenco"/>
        <w:numPr>
          <w:ilvl w:val="0"/>
          <w:numId w:val="2"/>
        </w:numPr>
      </w:pPr>
      <w:r>
        <w:t>HML (High Minus Low): premio per il valore (</w:t>
      </w:r>
      <w:proofErr w:type="spellStart"/>
      <w:r>
        <w:t>value</w:t>
      </w:r>
      <w:proofErr w:type="spellEnd"/>
      <w:r>
        <w:t xml:space="preserve"> vs </w:t>
      </w:r>
      <w:proofErr w:type="spellStart"/>
      <w:r>
        <w:t>growth</w:t>
      </w:r>
      <w:proofErr w:type="spellEnd"/>
      <w:r>
        <w:t>). Un'esposizione negativa indica natura “</w:t>
      </w:r>
      <w:proofErr w:type="spellStart"/>
      <w:r>
        <w:t>growth</w:t>
      </w:r>
      <w:proofErr w:type="spellEnd"/>
      <w:r>
        <w:t>”.</w:t>
      </w:r>
    </w:p>
    <w:p w14:paraId="6A1B058C" w14:textId="77777777" w:rsidR="002C4A42" w:rsidRDefault="002C4A42"/>
    <w:p w14:paraId="29B0C10D" w14:textId="77777777" w:rsidR="002C4A42" w:rsidRDefault="00000000">
      <w:r>
        <w:t>La regressione OLS stimata è la seguente:</w:t>
      </w:r>
    </w:p>
    <w:p w14:paraId="7CEAC67E" w14:textId="77777777" w:rsidR="002C4A42" w:rsidRDefault="002C4A42"/>
    <w:p w14:paraId="55CDC782" w14:textId="77777777" w:rsidR="002C4A42" w:rsidRDefault="00000000">
      <w:pPr>
        <w:jc w:val="center"/>
      </w:pPr>
      <w:r>
        <w:rPr>
          <w:b/>
          <w:bCs/>
        </w:rPr>
        <w:t xml:space="preserve">Rᵢ − </w:t>
      </w:r>
      <w:proofErr w:type="spellStart"/>
      <w:r>
        <w:rPr>
          <w:b/>
          <w:bCs/>
        </w:rPr>
        <w:t>Rf</w:t>
      </w:r>
      <w:proofErr w:type="spellEnd"/>
      <w:r>
        <w:rPr>
          <w:b/>
          <w:bCs/>
        </w:rPr>
        <w:t xml:space="preserve"> = α + b₁·(</w:t>
      </w:r>
      <w:proofErr w:type="spellStart"/>
      <w:r>
        <w:rPr>
          <w:b/>
          <w:bCs/>
        </w:rPr>
        <w:t>Mkt</w:t>
      </w:r>
      <w:proofErr w:type="spellEnd"/>
      <w:r>
        <w:rPr>
          <w:b/>
          <w:bCs/>
        </w:rPr>
        <w:t>−RF) + b₂·SMB + b₃·HML + ε</w:t>
      </w:r>
    </w:p>
    <w:p w14:paraId="526BAA41" w14:textId="77777777" w:rsidR="002C4A42" w:rsidRDefault="002C4A42"/>
    <w:p w14:paraId="076F6C43" w14:textId="20234A36" w:rsidR="002C4A42" w:rsidRDefault="00000000">
      <w:r>
        <w:lastRenderedPageBreak/>
        <w:t>I fattori mensili sono stati scaricati dal sito della Dartmouth. I risultati sono i seguenti:</w:t>
      </w:r>
    </w:p>
    <w:p w14:paraId="5899085A" w14:textId="77777777" w:rsidR="002C4A42" w:rsidRDefault="002C4A42"/>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300"/>
        <w:gridCol w:w="1200"/>
        <w:gridCol w:w="1200"/>
        <w:gridCol w:w="1200"/>
        <w:gridCol w:w="1160"/>
      </w:tblGrid>
      <w:tr w:rsidR="002C4A42" w14:paraId="0B796409" w14:textId="77777777">
        <w:trPr>
          <w:tblHeader/>
        </w:trPr>
        <w:tc>
          <w:tcPr>
            <w:tcW w:w="1300" w:type="dxa"/>
            <w:tcBorders>
              <w:top w:val="single" w:sz="1" w:space="0" w:color="2E4F7A"/>
              <w:left w:val="single" w:sz="1" w:space="0" w:color="2E4F7A"/>
              <w:bottom w:val="single" w:sz="1" w:space="0" w:color="2E4F7A"/>
              <w:right w:val="single" w:sz="1" w:space="0" w:color="2E4F7A"/>
            </w:tcBorders>
            <w:shd w:val="clear" w:color="auto" w:fill="2E4F7A"/>
            <w:tcMar>
              <w:top w:w="80" w:type="dxa"/>
              <w:left w:w="120" w:type="dxa"/>
              <w:bottom w:w="80" w:type="dxa"/>
              <w:right w:w="120" w:type="dxa"/>
            </w:tcMar>
          </w:tcPr>
          <w:p w14:paraId="01E23F83" w14:textId="77777777" w:rsidR="002C4A42" w:rsidRDefault="00000000">
            <w:pPr>
              <w:jc w:val="center"/>
            </w:pPr>
            <w:r>
              <w:rPr>
                <w:b/>
                <w:bCs/>
                <w:color w:val="FFFFFF"/>
                <w:sz w:val="20"/>
                <w:szCs w:val="20"/>
              </w:rPr>
              <w:t>ETF</w:t>
            </w:r>
          </w:p>
        </w:tc>
        <w:tc>
          <w:tcPr>
            <w:tcW w:w="1300" w:type="dxa"/>
            <w:tcBorders>
              <w:top w:val="single" w:sz="1" w:space="0" w:color="2E4F7A"/>
              <w:left w:val="single" w:sz="1" w:space="0" w:color="2E4F7A"/>
              <w:bottom w:val="single" w:sz="1" w:space="0" w:color="2E4F7A"/>
              <w:right w:val="single" w:sz="1" w:space="0" w:color="2E4F7A"/>
            </w:tcBorders>
            <w:shd w:val="clear" w:color="auto" w:fill="2E4F7A"/>
            <w:tcMar>
              <w:top w:w="80" w:type="dxa"/>
              <w:left w:w="120" w:type="dxa"/>
              <w:bottom w:w="80" w:type="dxa"/>
              <w:right w:w="120" w:type="dxa"/>
            </w:tcMar>
          </w:tcPr>
          <w:p w14:paraId="5FAB3DC2" w14:textId="77777777" w:rsidR="002C4A42" w:rsidRDefault="00000000">
            <w:pPr>
              <w:jc w:val="center"/>
            </w:pPr>
            <w:r>
              <w:rPr>
                <w:b/>
                <w:bCs/>
                <w:color w:val="FFFFFF"/>
                <w:sz w:val="20"/>
                <w:szCs w:val="20"/>
              </w:rPr>
              <w:t xml:space="preserve">Alpha </w:t>
            </w:r>
            <w:proofErr w:type="spellStart"/>
            <w:r>
              <w:rPr>
                <w:b/>
                <w:bCs/>
                <w:color w:val="FFFFFF"/>
                <w:sz w:val="20"/>
                <w:szCs w:val="20"/>
              </w:rPr>
              <w:t>ann</w:t>
            </w:r>
            <w:proofErr w:type="spellEnd"/>
            <w:r>
              <w:rPr>
                <w:b/>
                <w:bCs/>
                <w:color w:val="FFFFFF"/>
                <w:sz w:val="20"/>
                <w:szCs w:val="20"/>
              </w:rPr>
              <w:t>.</w:t>
            </w:r>
          </w:p>
        </w:tc>
        <w:tc>
          <w:tcPr>
            <w:tcW w:w="1200" w:type="dxa"/>
            <w:tcBorders>
              <w:top w:val="single" w:sz="1" w:space="0" w:color="2E4F7A"/>
              <w:left w:val="single" w:sz="1" w:space="0" w:color="2E4F7A"/>
              <w:bottom w:val="single" w:sz="1" w:space="0" w:color="2E4F7A"/>
              <w:right w:val="single" w:sz="1" w:space="0" w:color="2E4F7A"/>
            </w:tcBorders>
            <w:shd w:val="clear" w:color="auto" w:fill="2E4F7A"/>
            <w:tcMar>
              <w:top w:w="80" w:type="dxa"/>
              <w:left w:w="120" w:type="dxa"/>
              <w:bottom w:w="80" w:type="dxa"/>
              <w:right w:w="120" w:type="dxa"/>
            </w:tcMar>
          </w:tcPr>
          <w:p w14:paraId="476D2C05" w14:textId="77777777" w:rsidR="002C4A42" w:rsidRDefault="00000000">
            <w:pPr>
              <w:jc w:val="center"/>
            </w:pPr>
            <w:proofErr w:type="spellStart"/>
            <w:r>
              <w:rPr>
                <w:b/>
                <w:bCs/>
                <w:color w:val="FFFFFF"/>
                <w:sz w:val="20"/>
                <w:szCs w:val="20"/>
              </w:rPr>
              <w:t>b_Mkt</w:t>
            </w:r>
            <w:proofErr w:type="spellEnd"/>
          </w:p>
        </w:tc>
        <w:tc>
          <w:tcPr>
            <w:tcW w:w="1200" w:type="dxa"/>
            <w:tcBorders>
              <w:top w:val="single" w:sz="1" w:space="0" w:color="2E4F7A"/>
              <w:left w:val="single" w:sz="1" w:space="0" w:color="2E4F7A"/>
              <w:bottom w:val="single" w:sz="1" w:space="0" w:color="2E4F7A"/>
              <w:right w:val="single" w:sz="1" w:space="0" w:color="2E4F7A"/>
            </w:tcBorders>
            <w:shd w:val="clear" w:color="auto" w:fill="2E4F7A"/>
            <w:tcMar>
              <w:top w:w="80" w:type="dxa"/>
              <w:left w:w="120" w:type="dxa"/>
              <w:bottom w:w="80" w:type="dxa"/>
              <w:right w:w="120" w:type="dxa"/>
            </w:tcMar>
          </w:tcPr>
          <w:p w14:paraId="423EA5EA" w14:textId="77777777" w:rsidR="002C4A42" w:rsidRDefault="00000000">
            <w:pPr>
              <w:jc w:val="center"/>
            </w:pPr>
            <w:proofErr w:type="spellStart"/>
            <w:r>
              <w:rPr>
                <w:b/>
                <w:bCs/>
                <w:color w:val="FFFFFF"/>
                <w:sz w:val="20"/>
                <w:szCs w:val="20"/>
              </w:rPr>
              <w:t>b_SMB</w:t>
            </w:r>
            <w:proofErr w:type="spellEnd"/>
          </w:p>
        </w:tc>
        <w:tc>
          <w:tcPr>
            <w:tcW w:w="1200" w:type="dxa"/>
            <w:tcBorders>
              <w:top w:val="single" w:sz="1" w:space="0" w:color="2E4F7A"/>
              <w:left w:val="single" w:sz="1" w:space="0" w:color="2E4F7A"/>
              <w:bottom w:val="single" w:sz="1" w:space="0" w:color="2E4F7A"/>
              <w:right w:val="single" w:sz="1" w:space="0" w:color="2E4F7A"/>
            </w:tcBorders>
            <w:shd w:val="clear" w:color="auto" w:fill="2E4F7A"/>
            <w:tcMar>
              <w:top w:w="80" w:type="dxa"/>
              <w:left w:w="120" w:type="dxa"/>
              <w:bottom w:w="80" w:type="dxa"/>
              <w:right w:w="120" w:type="dxa"/>
            </w:tcMar>
          </w:tcPr>
          <w:p w14:paraId="786FE3A3" w14:textId="77777777" w:rsidR="002C4A42" w:rsidRDefault="00000000">
            <w:pPr>
              <w:jc w:val="center"/>
            </w:pPr>
            <w:proofErr w:type="spellStart"/>
            <w:r>
              <w:rPr>
                <w:b/>
                <w:bCs/>
                <w:color w:val="FFFFFF"/>
                <w:sz w:val="20"/>
                <w:szCs w:val="20"/>
              </w:rPr>
              <w:t>b_HML</w:t>
            </w:r>
            <w:proofErr w:type="spellEnd"/>
          </w:p>
        </w:tc>
        <w:tc>
          <w:tcPr>
            <w:tcW w:w="1160" w:type="dxa"/>
            <w:tcBorders>
              <w:top w:val="single" w:sz="1" w:space="0" w:color="2E4F7A"/>
              <w:left w:val="single" w:sz="1" w:space="0" w:color="2E4F7A"/>
              <w:bottom w:val="single" w:sz="1" w:space="0" w:color="2E4F7A"/>
              <w:right w:val="single" w:sz="1" w:space="0" w:color="2E4F7A"/>
            </w:tcBorders>
            <w:shd w:val="clear" w:color="auto" w:fill="2E4F7A"/>
            <w:tcMar>
              <w:top w:w="80" w:type="dxa"/>
              <w:left w:w="120" w:type="dxa"/>
              <w:bottom w:w="80" w:type="dxa"/>
              <w:right w:w="120" w:type="dxa"/>
            </w:tcMar>
          </w:tcPr>
          <w:p w14:paraId="777CD80D" w14:textId="77777777" w:rsidR="002C4A42" w:rsidRDefault="00000000">
            <w:pPr>
              <w:jc w:val="center"/>
            </w:pPr>
            <w:r>
              <w:rPr>
                <w:b/>
                <w:bCs/>
                <w:color w:val="FFFFFF"/>
                <w:sz w:val="20"/>
                <w:szCs w:val="20"/>
              </w:rPr>
              <w:t>R²</w:t>
            </w:r>
          </w:p>
        </w:tc>
      </w:tr>
      <w:tr w:rsidR="002C4A42" w14:paraId="2FD7B114" w14:textId="77777777">
        <w:tc>
          <w:tcPr>
            <w:tcW w:w="13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AFF63BE" w14:textId="77777777" w:rsidR="002C4A42" w:rsidRDefault="00000000">
            <w:r>
              <w:rPr>
                <w:sz w:val="20"/>
                <w:szCs w:val="20"/>
              </w:rPr>
              <w:t>XLF</w:t>
            </w:r>
          </w:p>
        </w:tc>
        <w:tc>
          <w:tcPr>
            <w:tcW w:w="13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2A24BE3" w14:textId="77777777" w:rsidR="002C4A42" w:rsidRDefault="00000000">
            <w:pPr>
              <w:jc w:val="center"/>
            </w:pPr>
            <w:r>
              <w:rPr>
                <w:sz w:val="20"/>
                <w:szCs w:val="20"/>
              </w:rPr>
              <w:t>-0.0365</w:t>
            </w:r>
          </w:p>
        </w:tc>
        <w:tc>
          <w:tcPr>
            <w:tcW w:w="1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7461177" w14:textId="77777777" w:rsidR="002C4A42" w:rsidRDefault="00000000">
            <w:pPr>
              <w:jc w:val="center"/>
            </w:pPr>
            <w:r>
              <w:rPr>
                <w:sz w:val="20"/>
                <w:szCs w:val="20"/>
              </w:rPr>
              <w:t>1.0484</w:t>
            </w:r>
          </w:p>
        </w:tc>
        <w:tc>
          <w:tcPr>
            <w:tcW w:w="1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618DF72" w14:textId="77777777" w:rsidR="002C4A42" w:rsidRDefault="00000000">
            <w:pPr>
              <w:jc w:val="center"/>
            </w:pPr>
            <w:r>
              <w:rPr>
                <w:sz w:val="20"/>
                <w:szCs w:val="20"/>
              </w:rPr>
              <w:t>-0.0339</w:t>
            </w:r>
          </w:p>
        </w:tc>
        <w:tc>
          <w:tcPr>
            <w:tcW w:w="1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340CA65" w14:textId="77777777" w:rsidR="002C4A42" w:rsidRDefault="00000000">
            <w:pPr>
              <w:jc w:val="center"/>
            </w:pPr>
            <w:r>
              <w:rPr>
                <w:sz w:val="20"/>
                <w:szCs w:val="20"/>
              </w:rPr>
              <w:t>+0.6229</w:t>
            </w:r>
          </w:p>
        </w:tc>
        <w:tc>
          <w:tcPr>
            <w:tcW w:w="11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7A13E16" w14:textId="77777777" w:rsidR="002C4A42" w:rsidRDefault="00000000">
            <w:pPr>
              <w:jc w:val="center"/>
            </w:pPr>
            <w:r>
              <w:rPr>
                <w:sz w:val="20"/>
                <w:szCs w:val="20"/>
              </w:rPr>
              <w:t>0.878</w:t>
            </w:r>
          </w:p>
        </w:tc>
      </w:tr>
      <w:tr w:rsidR="002C4A42" w14:paraId="3695D00A" w14:textId="77777777">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B12A01" w14:textId="77777777" w:rsidR="002C4A42" w:rsidRDefault="00000000">
            <w:r>
              <w:rPr>
                <w:sz w:val="20"/>
                <w:szCs w:val="20"/>
              </w:rPr>
              <w:t>XLK</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A524C2" w14:textId="77777777" w:rsidR="002C4A42" w:rsidRDefault="00000000">
            <w:pPr>
              <w:jc w:val="center"/>
            </w:pPr>
            <w:r>
              <w:rPr>
                <w:sz w:val="20"/>
                <w:szCs w:val="20"/>
              </w:rPr>
              <w:t>+0.0206</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7FE965" w14:textId="77777777" w:rsidR="002C4A42" w:rsidRDefault="00000000">
            <w:pPr>
              <w:jc w:val="center"/>
            </w:pPr>
            <w:r>
              <w:rPr>
                <w:sz w:val="20"/>
                <w:szCs w:val="20"/>
              </w:rPr>
              <w:t>1.1424</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29682D" w14:textId="77777777" w:rsidR="002C4A42" w:rsidRDefault="00000000">
            <w:pPr>
              <w:jc w:val="center"/>
            </w:pPr>
            <w:r>
              <w:rPr>
                <w:sz w:val="20"/>
                <w:szCs w:val="20"/>
              </w:rPr>
              <w:t>-0.2331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8E4314" w14:textId="77777777" w:rsidR="002C4A42" w:rsidRDefault="00000000">
            <w:pPr>
              <w:jc w:val="center"/>
            </w:pPr>
            <w:r>
              <w:rPr>
                <w:sz w:val="20"/>
                <w:szCs w:val="20"/>
              </w:rPr>
              <w:t>-0.3838</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B0255B" w14:textId="77777777" w:rsidR="002C4A42" w:rsidRDefault="00000000">
            <w:pPr>
              <w:jc w:val="center"/>
            </w:pPr>
            <w:r>
              <w:rPr>
                <w:sz w:val="20"/>
                <w:szCs w:val="20"/>
              </w:rPr>
              <w:t>0.879</w:t>
            </w:r>
          </w:p>
        </w:tc>
      </w:tr>
      <w:tr w:rsidR="002C4A42" w14:paraId="28FF5443" w14:textId="77777777">
        <w:tc>
          <w:tcPr>
            <w:tcW w:w="13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C5AE5C4" w14:textId="77777777" w:rsidR="002C4A42" w:rsidRDefault="00000000">
            <w:r>
              <w:rPr>
                <w:sz w:val="20"/>
                <w:szCs w:val="20"/>
              </w:rPr>
              <w:t>XLV</w:t>
            </w:r>
          </w:p>
        </w:tc>
        <w:tc>
          <w:tcPr>
            <w:tcW w:w="13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62D4EFE" w14:textId="77777777" w:rsidR="002C4A42" w:rsidRDefault="00000000">
            <w:pPr>
              <w:jc w:val="center"/>
            </w:pPr>
            <w:r>
              <w:rPr>
                <w:sz w:val="20"/>
                <w:szCs w:val="20"/>
              </w:rPr>
              <w:t>-0.0185</w:t>
            </w:r>
          </w:p>
        </w:tc>
        <w:tc>
          <w:tcPr>
            <w:tcW w:w="1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33C485C" w14:textId="77777777" w:rsidR="002C4A42" w:rsidRDefault="00000000">
            <w:pPr>
              <w:jc w:val="center"/>
            </w:pPr>
            <w:r>
              <w:rPr>
                <w:sz w:val="20"/>
                <w:szCs w:val="20"/>
              </w:rPr>
              <w:t>0.6967</w:t>
            </w:r>
          </w:p>
        </w:tc>
        <w:tc>
          <w:tcPr>
            <w:tcW w:w="1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AB09BFB" w14:textId="77777777" w:rsidR="002C4A42" w:rsidRDefault="00000000">
            <w:pPr>
              <w:jc w:val="center"/>
            </w:pPr>
            <w:r>
              <w:rPr>
                <w:sz w:val="20"/>
                <w:szCs w:val="20"/>
              </w:rPr>
              <w:t>-0.1820</w:t>
            </w:r>
          </w:p>
        </w:tc>
        <w:tc>
          <w:tcPr>
            <w:tcW w:w="1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45CCC9F" w14:textId="77777777" w:rsidR="002C4A42" w:rsidRDefault="00000000">
            <w:pPr>
              <w:jc w:val="center"/>
            </w:pPr>
            <w:r>
              <w:rPr>
                <w:sz w:val="20"/>
                <w:szCs w:val="20"/>
              </w:rPr>
              <w:t>+0.0435</w:t>
            </w:r>
          </w:p>
        </w:tc>
        <w:tc>
          <w:tcPr>
            <w:tcW w:w="11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722B17A" w14:textId="77777777" w:rsidR="002C4A42" w:rsidRDefault="00000000">
            <w:pPr>
              <w:jc w:val="center"/>
            </w:pPr>
            <w:r>
              <w:rPr>
                <w:sz w:val="20"/>
                <w:szCs w:val="20"/>
              </w:rPr>
              <w:t>0.513</w:t>
            </w:r>
          </w:p>
        </w:tc>
      </w:tr>
      <w:tr w:rsidR="002C4A42" w14:paraId="6CB6735F" w14:textId="77777777">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5057FE" w14:textId="77777777" w:rsidR="002C4A42" w:rsidRDefault="00000000">
            <w:r>
              <w:rPr>
                <w:sz w:val="20"/>
                <w:szCs w:val="20"/>
              </w:rPr>
              <w:t>XLE</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4C9A51" w14:textId="77777777" w:rsidR="002C4A42" w:rsidRDefault="00000000">
            <w:pPr>
              <w:jc w:val="center"/>
            </w:pPr>
            <w:r>
              <w:rPr>
                <w:sz w:val="20"/>
                <w:szCs w:val="20"/>
              </w:rPr>
              <w:t>-0.0445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C8F69C" w14:textId="77777777" w:rsidR="002C4A42" w:rsidRDefault="00000000">
            <w:pPr>
              <w:jc w:val="center"/>
            </w:pPr>
            <w:r>
              <w:rPr>
                <w:sz w:val="20"/>
                <w:szCs w:val="20"/>
              </w:rPr>
              <w:t>1.0811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A988B3" w14:textId="77777777" w:rsidR="002C4A42" w:rsidRDefault="00000000">
            <w:pPr>
              <w:jc w:val="center"/>
            </w:pPr>
            <w:r>
              <w:rPr>
                <w:sz w:val="20"/>
                <w:szCs w:val="20"/>
              </w:rPr>
              <w:t>+0.1722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EE268C" w14:textId="77777777" w:rsidR="002C4A42" w:rsidRDefault="00000000">
            <w:pPr>
              <w:jc w:val="center"/>
            </w:pPr>
            <w:r>
              <w:rPr>
                <w:sz w:val="20"/>
                <w:szCs w:val="20"/>
              </w:rPr>
              <w:t>+1.2443</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49BBCE" w14:textId="77777777" w:rsidR="002C4A42" w:rsidRDefault="00000000">
            <w:pPr>
              <w:jc w:val="center"/>
            </w:pPr>
            <w:r>
              <w:rPr>
                <w:sz w:val="20"/>
                <w:szCs w:val="20"/>
              </w:rPr>
              <w:t>0.654</w:t>
            </w:r>
          </w:p>
        </w:tc>
      </w:tr>
      <w:tr w:rsidR="002C4A42" w14:paraId="73B33F29" w14:textId="77777777">
        <w:tc>
          <w:tcPr>
            <w:tcW w:w="13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E7503CA" w14:textId="77777777" w:rsidR="002C4A42" w:rsidRDefault="00000000">
            <w:r>
              <w:rPr>
                <w:sz w:val="20"/>
                <w:szCs w:val="20"/>
              </w:rPr>
              <w:t>XLI</w:t>
            </w:r>
          </w:p>
        </w:tc>
        <w:tc>
          <w:tcPr>
            <w:tcW w:w="13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A1F3506" w14:textId="77777777" w:rsidR="002C4A42" w:rsidRDefault="00000000">
            <w:pPr>
              <w:jc w:val="center"/>
            </w:pPr>
            <w:r>
              <w:rPr>
                <w:sz w:val="20"/>
                <w:szCs w:val="20"/>
              </w:rPr>
              <w:t>-0.0347</w:t>
            </w:r>
          </w:p>
        </w:tc>
        <w:tc>
          <w:tcPr>
            <w:tcW w:w="1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A41FC72" w14:textId="77777777" w:rsidR="002C4A42" w:rsidRDefault="00000000">
            <w:pPr>
              <w:jc w:val="center"/>
            </w:pPr>
            <w:r>
              <w:rPr>
                <w:sz w:val="20"/>
                <w:szCs w:val="20"/>
              </w:rPr>
              <w:t>1.0860</w:t>
            </w:r>
          </w:p>
        </w:tc>
        <w:tc>
          <w:tcPr>
            <w:tcW w:w="1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07E9660" w14:textId="77777777" w:rsidR="002C4A42" w:rsidRDefault="00000000">
            <w:pPr>
              <w:jc w:val="center"/>
            </w:pPr>
            <w:r>
              <w:rPr>
                <w:sz w:val="20"/>
                <w:szCs w:val="20"/>
              </w:rPr>
              <w:t>-0.0066</w:t>
            </w:r>
          </w:p>
        </w:tc>
        <w:tc>
          <w:tcPr>
            <w:tcW w:w="1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35BCF8C" w14:textId="77777777" w:rsidR="002C4A42" w:rsidRDefault="00000000">
            <w:pPr>
              <w:jc w:val="center"/>
            </w:pPr>
            <w:r>
              <w:rPr>
                <w:sz w:val="20"/>
                <w:szCs w:val="20"/>
              </w:rPr>
              <w:t>+0.2851</w:t>
            </w:r>
          </w:p>
        </w:tc>
        <w:tc>
          <w:tcPr>
            <w:tcW w:w="11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435EC34" w14:textId="77777777" w:rsidR="002C4A42" w:rsidRDefault="00000000">
            <w:pPr>
              <w:jc w:val="center"/>
            </w:pPr>
            <w:r>
              <w:rPr>
                <w:sz w:val="20"/>
                <w:szCs w:val="20"/>
              </w:rPr>
              <w:t>0.840</w:t>
            </w:r>
          </w:p>
        </w:tc>
      </w:tr>
      <w:tr w:rsidR="002C4A42" w14:paraId="2D3DCFC5" w14:textId="77777777">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8AF18B" w14:textId="77777777" w:rsidR="002C4A42" w:rsidRDefault="00000000">
            <w:r>
              <w:rPr>
                <w:sz w:val="20"/>
                <w:szCs w:val="20"/>
              </w:rPr>
              <w:t>XLY</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613FD4" w14:textId="77777777" w:rsidR="002C4A42" w:rsidRDefault="00000000">
            <w:pPr>
              <w:jc w:val="center"/>
            </w:pPr>
            <w:r>
              <w:rPr>
                <w:sz w:val="20"/>
                <w:szCs w:val="20"/>
              </w:rPr>
              <w:t>-0.0497</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DA9C27" w14:textId="77777777" w:rsidR="002C4A42" w:rsidRDefault="00000000">
            <w:pPr>
              <w:jc w:val="center"/>
            </w:pPr>
            <w:r>
              <w:rPr>
                <w:sz w:val="20"/>
                <w:szCs w:val="20"/>
              </w:rPr>
              <w:t>1.1371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A572FE" w14:textId="77777777" w:rsidR="002C4A42" w:rsidRDefault="00000000">
            <w:pPr>
              <w:jc w:val="center"/>
            </w:pPr>
            <w:r>
              <w:rPr>
                <w:sz w:val="20"/>
                <w:szCs w:val="20"/>
              </w:rPr>
              <w:t>+0.1675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392043" w14:textId="77777777" w:rsidR="002C4A42" w:rsidRDefault="00000000">
            <w:pPr>
              <w:jc w:val="center"/>
            </w:pPr>
            <w:r>
              <w:rPr>
                <w:sz w:val="20"/>
                <w:szCs w:val="20"/>
              </w:rPr>
              <w:t>-0.2332</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787B5" w14:textId="77777777" w:rsidR="002C4A42" w:rsidRDefault="00000000">
            <w:pPr>
              <w:jc w:val="center"/>
            </w:pPr>
            <w:r>
              <w:rPr>
                <w:sz w:val="20"/>
                <w:szCs w:val="20"/>
              </w:rPr>
              <w:t>0.853</w:t>
            </w:r>
          </w:p>
        </w:tc>
      </w:tr>
    </w:tbl>
    <w:p w14:paraId="37588811" w14:textId="77777777" w:rsidR="002C4A42" w:rsidRDefault="002C4A42"/>
    <w:p w14:paraId="5A68CECD" w14:textId="77777777" w:rsidR="002C4A42" w:rsidRDefault="00000000">
      <w:r>
        <w:t>Commento per ETF:</w:t>
      </w:r>
    </w:p>
    <w:p w14:paraId="01D26FBC" w14:textId="77777777" w:rsidR="002C4A42" w:rsidRDefault="00000000">
      <w:pPr>
        <w:pStyle w:val="Paragrafoelenco"/>
        <w:numPr>
          <w:ilvl w:val="0"/>
          <w:numId w:val="2"/>
        </w:numPr>
      </w:pPr>
      <w:r>
        <w:t>XLF (Finanza): forte esposizione positiva a HML (+0.6229), la più alta tra tutti gli ETF, coerente con la natura “</w:t>
      </w:r>
      <w:proofErr w:type="spellStart"/>
      <w:r>
        <w:t>value</w:t>
      </w:r>
      <w:proofErr w:type="spellEnd"/>
      <w:r>
        <w:t>” delle banche tradizionali. L'alpha annualizzato è negativo (-3.65%), indicando una sottoperformance rispetto ai tre fattori nel periodo.</w:t>
      </w:r>
    </w:p>
    <w:p w14:paraId="011529EF" w14:textId="77777777" w:rsidR="002C4A42" w:rsidRDefault="00000000">
      <w:pPr>
        <w:pStyle w:val="Paragrafoelenco"/>
        <w:numPr>
          <w:ilvl w:val="0"/>
          <w:numId w:val="2"/>
        </w:numPr>
      </w:pPr>
      <w:r>
        <w:t>XLK (Tecnologia): forte carico negativo su HML (−0.3838), confermando la natura “</w:t>
      </w:r>
      <w:proofErr w:type="spellStart"/>
      <w:r>
        <w:t>growth</w:t>
      </w:r>
      <w:proofErr w:type="spellEnd"/>
      <w:r>
        <w:t>” del settore. È l'unico ETF con alpha positivo (+2.06% annuo), suggerendo che XLK ha generato valore al di là di quanto spiegato dai tre fattori. R² = 0.879, il più alto insieme a XLF.</w:t>
      </w:r>
    </w:p>
    <w:p w14:paraId="23F676DE" w14:textId="77777777" w:rsidR="002C4A42" w:rsidRDefault="00000000">
      <w:pPr>
        <w:pStyle w:val="Paragrafoelenco"/>
        <w:numPr>
          <w:ilvl w:val="0"/>
          <w:numId w:val="2"/>
        </w:numPr>
      </w:pPr>
      <w:r>
        <w:t>XLE (Energia): il coefficiente HML è il più elevato in assoluto (+1.2443), confermando la natura profondamente “</w:t>
      </w:r>
      <w:proofErr w:type="spellStart"/>
      <w:r>
        <w:t>value</w:t>
      </w:r>
      <w:proofErr w:type="spellEnd"/>
      <w:r>
        <w:t>” delle società energetiche. R² = 0.654, il più basso, a significare che i tre fattori spiegano solo il 65% della varianza di XLE: il resto è rischio idiosincratico (prezzo petrolio, geopolitica).</w:t>
      </w:r>
    </w:p>
    <w:p w14:paraId="413AE03C" w14:textId="77777777" w:rsidR="002C4A42" w:rsidRDefault="00000000">
      <w:pPr>
        <w:pStyle w:val="Paragrafoelenco"/>
        <w:numPr>
          <w:ilvl w:val="0"/>
          <w:numId w:val="2"/>
        </w:numPr>
      </w:pPr>
      <w:r>
        <w:t>XLV (Salute): esposizioni molto contenute a SMB e HML, con R² = 0.513, il più basso del campione. Il settore sanitario ha dinamiche proprie (ciclo demografico, regolamentazione) poco catturate dai fattori classici di Fama-French.</w:t>
      </w:r>
    </w:p>
    <w:p w14:paraId="0AB93055" w14:textId="77777777" w:rsidR="002C4A42" w:rsidRDefault="002C4A42"/>
    <w:p w14:paraId="7D7FF674" w14:textId="77777777" w:rsidR="002C4A42" w:rsidRDefault="00000000">
      <w:r>
        <w:t>Il confronto tra il modello CAPM e il modello FF3 conferma che i fattori aggiuntivi migliorano il potere esplicativo per la maggior parte degli ETF. Tuttavia, per XLV (R² = 0.51) e XLE (R² = 0.65) il modello rimane parziale: questi settori hanno caratteristiche strutturali difficilmente catturabili dai tre fattori classici, suggerendo l'opportunità di estendere l'analisi al modello a 5 fattori di Fama-French (che include RMW e CMA).</w:t>
      </w:r>
    </w:p>
    <w:p w14:paraId="311ECE95" w14:textId="77777777" w:rsidR="002C4A42" w:rsidRDefault="002C4A42"/>
    <w:p w14:paraId="05E7E926" w14:textId="77777777" w:rsidR="002C4A42" w:rsidRDefault="00000000">
      <w:r>
        <w:br w:type="page"/>
      </w:r>
    </w:p>
    <w:p w14:paraId="2CE80111" w14:textId="77777777" w:rsidR="002C4A42" w:rsidRDefault="00000000">
      <w:pPr>
        <w:pStyle w:val="Titolo1"/>
      </w:pPr>
      <w:r>
        <w:lastRenderedPageBreak/>
        <w:t xml:space="preserve">4. Strategie di Trading e </w:t>
      </w:r>
      <w:proofErr w:type="spellStart"/>
      <w:r>
        <w:t>Backtesting</w:t>
      </w:r>
      <w:proofErr w:type="spellEnd"/>
      <w:r>
        <w:t xml:space="preserve"> – CPPI</w:t>
      </w:r>
    </w:p>
    <w:p w14:paraId="5B7DADBC" w14:textId="77777777" w:rsidR="002C4A42" w:rsidRDefault="00000000">
      <w:pPr>
        <w:pStyle w:val="Titolo2"/>
      </w:pPr>
      <w:r>
        <w:t>4a. Strategia CPPI: dati storici e simulazione Montecarlo</w:t>
      </w:r>
    </w:p>
    <w:p w14:paraId="7F7EE6DA" w14:textId="77777777" w:rsidR="002C4A42" w:rsidRDefault="00000000">
      <w:pPr>
        <w:pStyle w:val="Titolo3"/>
      </w:pPr>
      <w:r>
        <w:t>Descrizione della strategia</w:t>
      </w:r>
    </w:p>
    <w:p w14:paraId="426B2611" w14:textId="77777777" w:rsidR="002C4A42" w:rsidRDefault="00000000">
      <w:r>
        <w:t xml:space="preserve">La strategia CPPI (Constant </w:t>
      </w:r>
      <w:proofErr w:type="spellStart"/>
      <w:r>
        <w:t>Proportion</w:t>
      </w:r>
      <w:proofErr w:type="spellEnd"/>
      <w:r>
        <w:t xml:space="preserve"> Portfolio Insurance) è una tecnica di gestione dinamica del portafoglio che garantisce la protezione di un capitale minimo (</w:t>
      </w:r>
      <w:proofErr w:type="spellStart"/>
      <w:r>
        <w:t>floor</w:t>
      </w:r>
      <w:proofErr w:type="spellEnd"/>
      <w:r>
        <w:t>) consentendo al tempo stesso di partecipare alla crescita del mercato. Il meccanismo è il seguente:</w:t>
      </w:r>
    </w:p>
    <w:p w14:paraId="23A0312B" w14:textId="77777777" w:rsidR="002C4A42" w:rsidRDefault="00000000">
      <w:pPr>
        <w:pStyle w:val="Paragrafoelenco"/>
        <w:numPr>
          <w:ilvl w:val="0"/>
          <w:numId w:val="2"/>
        </w:numPr>
      </w:pPr>
      <w:r>
        <w:t xml:space="preserve">Si definisce un </w:t>
      </w:r>
      <w:proofErr w:type="spellStart"/>
      <w:r>
        <w:t>floor</w:t>
      </w:r>
      <w:proofErr w:type="spellEnd"/>
      <w:r>
        <w:t xml:space="preserve"> F (capitale minimo da proteggere).</w:t>
      </w:r>
    </w:p>
    <w:p w14:paraId="538B140A" w14:textId="77777777" w:rsidR="002C4A42" w:rsidRDefault="00000000">
      <w:pPr>
        <w:pStyle w:val="Paragrafoelenco"/>
        <w:numPr>
          <w:ilvl w:val="0"/>
          <w:numId w:val="2"/>
        </w:numPr>
      </w:pPr>
      <w:r>
        <w:t xml:space="preserve">Il </w:t>
      </w:r>
      <w:proofErr w:type="spellStart"/>
      <w:r>
        <w:t>cushion</w:t>
      </w:r>
      <w:proofErr w:type="spellEnd"/>
      <w:r>
        <w:t xml:space="preserve"> C = V − F rappresenta il “cuscino” di sicurezza disponibile.</w:t>
      </w:r>
    </w:p>
    <w:p w14:paraId="198CA02C" w14:textId="77777777" w:rsidR="002C4A42" w:rsidRDefault="00000000">
      <w:pPr>
        <w:pStyle w:val="Paragrafoelenco"/>
        <w:numPr>
          <w:ilvl w:val="0"/>
          <w:numId w:val="2"/>
        </w:numPr>
      </w:pPr>
      <w:r>
        <w:t>L'allocazione rischiosa è E = min(m × C, V), dove m è il moltiplicatore.</w:t>
      </w:r>
    </w:p>
    <w:p w14:paraId="42E977F9" w14:textId="77777777" w:rsidR="002C4A42" w:rsidRDefault="00000000">
      <w:pPr>
        <w:pStyle w:val="Paragrafoelenco"/>
        <w:numPr>
          <w:ilvl w:val="0"/>
          <w:numId w:val="2"/>
        </w:numPr>
      </w:pPr>
      <w:r>
        <w:t>La restante quota S = V − E viene allocata nell'asset privo di rischio.</w:t>
      </w:r>
    </w:p>
    <w:p w14:paraId="11AC69F2" w14:textId="77777777" w:rsidR="002C4A42" w:rsidRDefault="002C4A42"/>
    <w:p w14:paraId="1E691E44" w14:textId="77777777" w:rsidR="002C4A42" w:rsidRDefault="00000000">
      <w:r>
        <w:t>I parametri scelti per la simulazione sono:</w:t>
      </w:r>
    </w:p>
    <w:p w14:paraId="41BAD6C4" w14:textId="77777777" w:rsidR="002C4A42" w:rsidRDefault="002C4A4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000"/>
        <w:gridCol w:w="4560"/>
      </w:tblGrid>
      <w:tr w:rsidR="002C4A42" w14:paraId="7779363E" w14:textId="77777777">
        <w:trPr>
          <w:tblHeader/>
        </w:trPr>
        <w:tc>
          <w:tcPr>
            <w:tcW w:w="2800" w:type="dxa"/>
            <w:tcBorders>
              <w:top w:val="single" w:sz="1" w:space="0" w:color="2E4F7A"/>
              <w:left w:val="single" w:sz="1" w:space="0" w:color="2E4F7A"/>
              <w:bottom w:val="single" w:sz="1" w:space="0" w:color="2E4F7A"/>
              <w:right w:val="single" w:sz="1" w:space="0" w:color="2E4F7A"/>
            </w:tcBorders>
            <w:shd w:val="clear" w:color="auto" w:fill="2E4F7A"/>
            <w:tcMar>
              <w:top w:w="80" w:type="dxa"/>
              <w:left w:w="120" w:type="dxa"/>
              <w:bottom w:w="80" w:type="dxa"/>
              <w:right w:w="120" w:type="dxa"/>
            </w:tcMar>
          </w:tcPr>
          <w:p w14:paraId="37CE02A8" w14:textId="77777777" w:rsidR="002C4A42" w:rsidRDefault="00000000">
            <w:pPr>
              <w:jc w:val="center"/>
            </w:pPr>
            <w:r>
              <w:rPr>
                <w:b/>
                <w:bCs/>
                <w:color w:val="FFFFFF"/>
                <w:sz w:val="20"/>
                <w:szCs w:val="20"/>
              </w:rPr>
              <w:t>Parametro</w:t>
            </w:r>
          </w:p>
        </w:tc>
        <w:tc>
          <w:tcPr>
            <w:tcW w:w="2000" w:type="dxa"/>
            <w:tcBorders>
              <w:top w:val="single" w:sz="1" w:space="0" w:color="2E4F7A"/>
              <w:left w:val="single" w:sz="1" w:space="0" w:color="2E4F7A"/>
              <w:bottom w:val="single" w:sz="1" w:space="0" w:color="2E4F7A"/>
              <w:right w:val="single" w:sz="1" w:space="0" w:color="2E4F7A"/>
            </w:tcBorders>
            <w:shd w:val="clear" w:color="auto" w:fill="2E4F7A"/>
            <w:tcMar>
              <w:top w:w="80" w:type="dxa"/>
              <w:left w:w="120" w:type="dxa"/>
              <w:bottom w:w="80" w:type="dxa"/>
              <w:right w:w="120" w:type="dxa"/>
            </w:tcMar>
          </w:tcPr>
          <w:p w14:paraId="7548BE9F" w14:textId="77777777" w:rsidR="002C4A42" w:rsidRDefault="00000000">
            <w:pPr>
              <w:jc w:val="center"/>
            </w:pPr>
            <w:r>
              <w:rPr>
                <w:b/>
                <w:bCs/>
                <w:color w:val="FFFFFF"/>
                <w:sz w:val="20"/>
                <w:szCs w:val="20"/>
              </w:rPr>
              <w:t>Valore</w:t>
            </w:r>
          </w:p>
        </w:tc>
        <w:tc>
          <w:tcPr>
            <w:tcW w:w="4560" w:type="dxa"/>
            <w:tcBorders>
              <w:top w:val="single" w:sz="1" w:space="0" w:color="2E4F7A"/>
              <w:left w:val="single" w:sz="1" w:space="0" w:color="2E4F7A"/>
              <w:bottom w:val="single" w:sz="1" w:space="0" w:color="2E4F7A"/>
              <w:right w:val="single" w:sz="1" w:space="0" w:color="2E4F7A"/>
            </w:tcBorders>
            <w:shd w:val="clear" w:color="auto" w:fill="2E4F7A"/>
            <w:tcMar>
              <w:top w:w="80" w:type="dxa"/>
              <w:left w:w="120" w:type="dxa"/>
              <w:bottom w:w="80" w:type="dxa"/>
              <w:right w:w="120" w:type="dxa"/>
            </w:tcMar>
          </w:tcPr>
          <w:p w14:paraId="02C5C091" w14:textId="77777777" w:rsidR="002C4A42" w:rsidRDefault="00000000">
            <w:pPr>
              <w:jc w:val="center"/>
            </w:pPr>
            <w:r>
              <w:rPr>
                <w:b/>
                <w:bCs/>
                <w:color w:val="FFFFFF"/>
                <w:sz w:val="20"/>
                <w:szCs w:val="20"/>
              </w:rPr>
              <w:t>Motivazione</w:t>
            </w:r>
          </w:p>
        </w:tc>
      </w:tr>
      <w:tr w:rsidR="002C4A42" w14:paraId="64C6FE19"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022D1E1" w14:textId="77777777" w:rsidR="002C4A42" w:rsidRDefault="00000000">
            <w:r>
              <w:rPr>
                <w:sz w:val="20"/>
                <w:szCs w:val="20"/>
              </w:rPr>
              <w:t>Capitale iniziale V₀</w:t>
            </w:r>
          </w:p>
        </w:tc>
        <w:tc>
          <w:tcPr>
            <w:tcW w:w="2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2DA57C3" w14:textId="77777777" w:rsidR="002C4A42" w:rsidRDefault="00000000">
            <w:pPr>
              <w:jc w:val="center"/>
            </w:pPr>
            <w:r>
              <w:rPr>
                <w:sz w:val="20"/>
                <w:szCs w:val="20"/>
              </w:rPr>
              <w:t>1.000</w:t>
            </w:r>
          </w:p>
        </w:tc>
        <w:tc>
          <w:tcPr>
            <w:tcW w:w="45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D65C86F" w14:textId="77777777" w:rsidR="002C4A42" w:rsidRDefault="00000000">
            <w:pPr>
              <w:jc w:val="center"/>
            </w:pPr>
            <w:r>
              <w:rPr>
                <w:sz w:val="20"/>
                <w:szCs w:val="20"/>
              </w:rPr>
              <w:t>Base di riferimento normalizzata</w:t>
            </w:r>
          </w:p>
        </w:tc>
      </w:tr>
      <w:tr w:rsidR="002C4A42" w14:paraId="698A5B89"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0EF2A1" w14:textId="77777777" w:rsidR="002C4A42" w:rsidRDefault="00000000">
            <w:r>
              <w:rPr>
                <w:sz w:val="20"/>
                <w:szCs w:val="20"/>
              </w:rPr>
              <w:t>Floor F</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7ED364" w14:textId="77777777" w:rsidR="002C4A42" w:rsidRDefault="00000000">
            <w:pPr>
              <w:jc w:val="center"/>
            </w:pPr>
            <w:r>
              <w:rPr>
                <w:sz w:val="20"/>
                <w:szCs w:val="20"/>
              </w:rPr>
              <w:t>800 (80%)</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80996B" w14:textId="77777777" w:rsidR="002C4A42" w:rsidRDefault="00000000">
            <w:pPr>
              <w:jc w:val="center"/>
            </w:pPr>
            <w:r>
              <w:rPr>
                <w:sz w:val="20"/>
                <w:szCs w:val="20"/>
              </w:rPr>
              <w:t>Protezione del capitale minimo garantita all'80%</w:t>
            </w:r>
          </w:p>
        </w:tc>
      </w:tr>
      <w:tr w:rsidR="002C4A42" w14:paraId="2610D16A"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BE6836A" w14:textId="77777777" w:rsidR="002C4A42" w:rsidRDefault="00000000">
            <w:r>
              <w:rPr>
                <w:sz w:val="20"/>
                <w:szCs w:val="20"/>
              </w:rPr>
              <w:t>Moltiplicatore m</w:t>
            </w:r>
          </w:p>
        </w:tc>
        <w:tc>
          <w:tcPr>
            <w:tcW w:w="2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54C61E2" w14:textId="77777777" w:rsidR="002C4A42" w:rsidRDefault="00000000">
            <w:pPr>
              <w:jc w:val="center"/>
            </w:pPr>
            <w:r>
              <w:rPr>
                <w:sz w:val="20"/>
                <w:szCs w:val="20"/>
              </w:rPr>
              <w:t>3</w:t>
            </w:r>
          </w:p>
        </w:tc>
        <w:tc>
          <w:tcPr>
            <w:tcW w:w="45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E53F5FD" w14:textId="77777777" w:rsidR="002C4A42" w:rsidRDefault="00000000">
            <w:pPr>
              <w:jc w:val="center"/>
            </w:pPr>
            <w:r>
              <w:rPr>
                <w:sz w:val="20"/>
                <w:szCs w:val="20"/>
              </w:rPr>
              <w:t>Bilancia protezione e partecipazione alla crescita</w:t>
            </w:r>
          </w:p>
        </w:tc>
      </w:tr>
      <w:tr w:rsidR="002C4A42" w14:paraId="4B621CA0"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3E9590" w14:textId="77777777" w:rsidR="002C4A42" w:rsidRDefault="00000000">
            <w:r>
              <w:rPr>
                <w:sz w:val="20"/>
                <w:szCs w:val="20"/>
              </w:rPr>
              <w:t>Orizzonte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FCAF25" w14:textId="77777777" w:rsidR="002C4A42" w:rsidRDefault="00000000">
            <w:pPr>
              <w:jc w:val="center"/>
            </w:pPr>
            <w:r>
              <w:rPr>
                <w:sz w:val="20"/>
                <w:szCs w:val="20"/>
              </w:rPr>
              <w:t>252 gg (~1 anno)</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D805C5" w14:textId="77777777" w:rsidR="002C4A42" w:rsidRDefault="00000000">
            <w:pPr>
              <w:jc w:val="center"/>
            </w:pPr>
            <w:r>
              <w:rPr>
                <w:sz w:val="20"/>
                <w:szCs w:val="20"/>
              </w:rPr>
              <w:t>Coerente con i requisiti del progetto</w:t>
            </w:r>
          </w:p>
        </w:tc>
      </w:tr>
      <w:tr w:rsidR="002C4A42" w14:paraId="58199230"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DF0F999" w14:textId="77777777" w:rsidR="002C4A42" w:rsidRDefault="00000000">
            <w:r>
              <w:rPr>
                <w:sz w:val="20"/>
                <w:szCs w:val="20"/>
              </w:rPr>
              <w:t>Titolo analizzato</w:t>
            </w:r>
          </w:p>
        </w:tc>
        <w:tc>
          <w:tcPr>
            <w:tcW w:w="2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0A42364" w14:textId="77777777" w:rsidR="002C4A42" w:rsidRDefault="00000000">
            <w:pPr>
              <w:jc w:val="center"/>
            </w:pPr>
            <w:r>
              <w:rPr>
                <w:sz w:val="20"/>
                <w:szCs w:val="20"/>
              </w:rPr>
              <w:t>XLK</w:t>
            </w:r>
          </w:p>
        </w:tc>
        <w:tc>
          <w:tcPr>
            <w:tcW w:w="45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3EEB819" w14:textId="77777777" w:rsidR="002C4A42" w:rsidRDefault="00000000">
            <w:pPr>
              <w:jc w:val="center"/>
            </w:pPr>
            <w:r>
              <w:rPr>
                <w:sz w:val="20"/>
                <w:szCs w:val="20"/>
              </w:rPr>
              <w:t xml:space="preserve">ETF con rendimento storico più elevato (18.6% </w:t>
            </w:r>
            <w:proofErr w:type="spellStart"/>
            <w:r>
              <w:rPr>
                <w:sz w:val="20"/>
                <w:szCs w:val="20"/>
              </w:rPr>
              <w:t>ann</w:t>
            </w:r>
            <w:proofErr w:type="spellEnd"/>
            <w:r>
              <w:rPr>
                <w:sz w:val="20"/>
                <w:szCs w:val="20"/>
              </w:rPr>
              <w:t>.)</w:t>
            </w:r>
          </w:p>
        </w:tc>
      </w:tr>
    </w:tbl>
    <w:p w14:paraId="680A25FC" w14:textId="77777777" w:rsidR="002C4A42" w:rsidRDefault="002C4A42"/>
    <w:p w14:paraId="6860199F" w14:textId="77777777" w:rsidR="002C4A42" w:rsidRDefault="00000000">
      <w:pPr>
        <w:pStyle w:val="Titolo3"/>
      </w:pPr>
      <w:r>
        <w:t>Dati storici (2025–2026)</w:t>
      </w:r>
    </w:p>
    <w:p w14:paraId="49C3EA3D" w14:textId="77777777" w:rsidR="002C4A42" w:rsidRDefault="00000000">
      <w:r>
        <w:t xml:space="preserve">La strategia CPPI viene applicata all'ultimo anno del campione utilizzando i rendimenti giornalieri effettivi di XLK. Il confronto con la strategia Buy &amp; Hold sullo stesso periodo permette di valutare il costo (in termini di rinuncia al rialzo) che l'investitore paga per la protezione del </w:t>
      </w:r>
      <w:proofErr w:type="spellStart"/>
      <w:r>
        <w:t>floor</w:t>
      </w:r>
      <w:proofErr w:type="spellEnd"/>
      <w:r>
        <w:t>.</w:t>
      </w:r>
    </w:p>
    <w:p w14:paraId="7BFDFB33" w14:textId="77777777" w:rsidR="002C4A42" w:rsidRDefault="002C4A42"/>
    <w:p w14:paraId="599AD9F3" w14:textId="77777777" w:rsidR="002C4A42" w:rsidRDefault="00000000">
      <w:r>
        <w:t>Osservazioni principali dall'analisi storica:</w:t>
      </w:r>
    </w:p>
    <w:p w14:paraId="24A81406" w14:textId="77777777" w:rsidR="002C4A42" w:rsidRDefault="00000000">
      <w:pPr>
        <w:pStyle w:val="Paragrafoelenco"/>
        <w:numPr>
          <w:ilvl w:val="0"/>
          <w:numId w:val="2"/>
        </w:numPr>
      </w:pPr>
      <w:r>
        <w:t xml:space="preserve">Il </w:t>
      </w:r>
      <w:proofErr w:type="spellStart"/>
      <w:r>
        <w:t>floor</w:t>
      </w:r>
      <w:proofErr w:type="spellEnd"/>
      <w:r>
        <w:t xml:space="preserve"> non è mai violato durante il periodo di analisi, confermando l'efficacia meccanica della strategia.</w:t>
      </w:r>
    </w:p>
    <w:p w14:paraId="5F14EE5D" w14:textId="77777777" w:rsidR="002C4A42" w:rsidRDefault="00000000">
      <w:pPr>
        <w:pStyle w:val="Paragrafoelenco"/>
        <w:numPr>
          <w:ilvl w:val="0"/>
          <w:numId w:val="2"/>
        </w:numPr>
      </w:pPr>
      <w:r>
        <w:t xml:space="preserve">L'allocazione rischiosa (E/V) oscilla dinamicamente: sale nei periodi di buona performance quando il </w:t>
      </w:r>
      <w:proofErr w:type="spellStart"/>
      <w:r>
        <w:t>cushion</w:t>
      </w:r>
      <w:proofErr w:type="spellEnd"/>
      <w:r>
        <w:t xml:space="preserve"> si allarga, si contrae o si azzera nei periodi di calo (effetto “cash lock”).</w:t>
      </w:r>
    </w:p>
    <w:p w14:paraId="41094ADD" w14:textId="77777777" w:rsidR="002C4A42" w:rsidRDefault="00000000">
      <w:pPr>
        <w:pStyle w:val="Paragrafoelenco"/>
        <w:numPr>
          <w:ilvl w:val="0"/>
          <w:numId w:val="2"/>
        </w:numPr>
      </w:pPr>
      <w:r>
        <w:t>In un anno di forte rialzo del mercato tecnologico, la strategia Buy &amp; Hold tende a sovraperformare la CPPI in termini di rendimento assoluto, a causa della riduzione dell'esposizione rischiosa durante le fasi ribassiste.</w:t>
      </w:r>
    </w:p>
    <w:p w14:paraId="1C89DB67" w14:textId="77777777" w:rsidR="002C4A42" w:rsidRDefault="002C4A42"/>
    <w:p w14:paraId="6FB2AD19" w14:textId="77777777" w:rsidR="002C4A42" w:rsidRDefault="00000000">
      <w:pPr>
        <w:pStyle w:val="Titolo3"/>
      </w:pPr>
      <w:r>
        <w:t>Simulazione Montecarlo</w:t>
      </w:r>
    </w:p>
    <w:p w14:paraId="34A77824" w14:textId="77777777" w:rsidR="002C4A42" w:rsidRDefault="00000000">
      <w:r>
        <w:t>La simulazione Montecarlo genera 500 scenari di rendimento giornaliero estratti da una distribuzione normale con media e deviazione standard pari ai parametri storici di XLK (µ giornaliero, σ giornaliero). I risultati principali sono:</w:t>
      </w:r>
    </w:p>
    <w:p w14:paraId="17B8D1D3" w14:textId="77777777" w:rsidR="002C4A42" w:rsidRDefault="00000000">
      <w:pPr>
        <w:pStyle w:val="Paragrafoelenco"/>
        <w:numPr>
          <w:ilvl w:val="0"/>
          <w:numId w:val="2"/>
        </w:numPr>
      </w:pPr>
      <w:r>
        <w:t xml:space="preserve">La vasta maggioranza delle simulazioni (&gt;99%) non viola il </w:t>
      </w:r>
      <w:proofErr w:type="spellStart"/>
      <w:r>
        <w:t>floor</w:t>
      </w:r>
      <w:proofErr w:type="spellEnd"/>
      <w:r>
        <w:t>, confermando la robustezza teorica della strategia con m=3.</w:t>
      </w:r>
    </w:p>
    <w:p w14:paraId="28564FD7" w14:textId="77777777" w:rsidR="002C4A42" w:rsidRDefault="00000000">
      <w:pPr>
        <w:pStyle w:val="Paragrafoelenco"/>
        <w:numPr>
          <w:ilvl w:val="0"/>
          <w:numId w:val="2"/>
        </w:numPr>
      </w:pPr>
      <w:r>
        <w:t xml:space="preserve">La distribuzione dei valori finali è asimmetrica positivamente: il </w:t>
      </w:r>
      <w:proofErr w:type="spellStart"/>
      <w:r>
        <w:t>upside</w:t>
      </w:r>
      <w:proofErr w:type="spellEnd"/>
      <w:r>
        <w:t xml:space="preserve"> è illimitato, il </w:t>
      </w:r>
      <w:proofErr w:type="spellStart"/>
      <w:r>
        <w:t>downside</w:t>
      </w:r>
      <w:proofErr w:type="spellEnd"/>
      <w:r>
        <w:t xml:space="preserve"> è limitato dal </w:t>
      </w:r>
      <w:proofErr w:type="spellStart"/>
      <w:r>
        <w:t>floor</w:t>
      </w:r>
      <w:proofErr w:type="spellEnd"/>
      <w:r>
        <w:t>.</w:t>
      </w:r>
    </w:p>
    <w:p w14:paraId="1241A9D3" w14:textId="77777777" w:rsidR="002C4A42" w:rsidRDefault="00000000">
      <w:pPr>
        <w:pStyle w:val="Paragrafoelenco"/>
        <w:numPr>
          <w:ilvl w:val="0"/>
          <w:numId w:val="2"/>
        </w:numPr>
      </w:pPr>
      <w:r>
        <w:t>Il valore storico si posiziona tipicamente intorno alla mediana delle simulazioni Montecarlo, suggerendo che il 2025 non è stato un anno anomalo rispetto alla distribuzione attesa.</w:t>
      </w:r>
    </w:p>
    <w:p w14:paraId="7C1CB866" w14:textId="77777777" w:rsidR="002C4A42" w:rsidRDefault="002C4A4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000"/>
        <w:gridCol w:w="2000"/>
        <w:gridCol w:w="2960"/>
      </w:tblGrid>
      <w:tr w:rsidR="002C4A42" w14:paraId="7438E60E" w14:textId="77777777">
        <w:trPr>
          <w:tblHeader/>
        </w:trPr>
        <w:tc>
          <w:tcPr>
            <w:tcW w:w="2400" w:type="dxa"/>
            <w:tcBorders>
              <w:top w:val="single" w:sz="1" w:space="0" w:color="2E4F7A"/>
              <w:left w:val="single" w:sz="1" w:space="0" w:color="2E4F7A"/>
              <w:bottom w:val="single" w:sz="1" w:space="0" w:color="2E4F7A"/>
              <w:right w:val="single" w:sz="1" w:space="0" w:color="2E4F7A"/>
            </w:tcBorders>
            <w:shd w:val="clear" w:color="auto" w:fill="2E4F7A"/>
            <w:tcMar>
              <w:top w:w="80" w:type="dxa"/>
              <w:left w:w="120" w:type="dxa"/>
              <w:bottom w:w="80" w:type="dxa"/>
              <w:right w:w="120" w:type="dxa"/>
            </w:tcMar>
          </w:tcPr>
          <w:p w14:paraId="74DB1C75" w14:textId="77777777" w:rsidR="002C4A42" w:rsidRDefault="00000000">
            <w:pPr>
              <w:jc w:val="center"/>
            </w:pPr>
            <w:r>
              <w:rPr>
                <w:b/>
                <w:bCs/>
                <w:color w:val="FFFFFF"/>
                <w:sz w:val="20"/>
                <w:szCs w:val="20"/>
              </w:rPr>
              <w:t>Metrica</w:t>
            </w:r>
          </w:p>
        </w:tc>
        <w:tc>
          <w:tcPr>
            <w:tcW w:w="2000" w:type="dxa"/>
            <w:tcBorders>
              <w:top w:val="single" w:sz="1" w:space="0" w:color="2E4F7A"/>
              <w:left w:val="single" w:sz="1" w:space="0" w:color="2E4F7A"/>
              <w:bottom w:val="single" w:sz="1" w:space="0" w:color="2E4F7A"/>
              <w:right w:val="single" w:sz="1" w:space="0" w:color="2E4F7A"/>
            </w:tcBorders>
            <w:shd w:val="clear" w:color="auto" w:fill="2E4F7A"/>
            <w:tcMar>
              <w:top w:w="80" w:type="dxa"/>
              <w:left w:w="120" w:type="dxa"/>
              <w:bottom w:w="80" w:type="dxa"/>
              <w:right w:w="120" w:type="dxa"/>
            </w:tcMar>
          </w:tcPr>
          <w:p w14:paraId="14DFBB01" w14:textId="77777777" w:rsidR="002C4A42" w:rsidRDefault="00000000">
            <w:pPr>
              <w:jc w:val="center"/>
            </w:pPr>
            <w:r>
              <w:rPr>
                <w:b/>
                <w:bCs/>
                <w:color w:val="FFFFFF"/>
                <w:sz w:val="20"/>
                <w:szCs w:val="20"/>
              </w:rPr>
              <w:t>CPPI (Storico)</w:t>
            </w:r>
          </w:p>
        </w:tc>
        <w:tc>
          <w:tcPr>
            <w:tcW w:w="2000" w:type="dxa"/>
            <w:tcBorders>
              <w:top w:val="single" w:sz="1" w:space="0" w:color="2E4F7A"/>
              <w:left w:val="single" w:sz="1" w:space="0" w:color="2E4F7A"/>
              <w:bottom w:val="single" w:sz="1" w:space="0" w:color="2E4F7A"/>
              <w:right w:val="single" w:sz="1" w:space="0" w:color="2E4F7A"/>
            </w:tcBorders>
            <w:shd w:val="clear" w:color="auto" w:fill="2E4F7A"/>
            <w:tcMar>
              <w:top w:w="80" w:type="dxa"/>
              <w:left w:w="120" w:type="dxa"/>
              <w:bottom w:w="80" w:type="dxa"/>
              <w:right w:w="120" w:type="dxa"/>
            </w:tcMar>
          </w:tcPr>
          <w:p w14:paraId="6615CAA3" w14:textId="77777777" w:rsidR="002C4A42" w:rsidRDefault="00000000">
            <w:pPr>
              <w:jc w:val="center"/>
            </w:pPr>
            <w:r>
              <w:rPr>
                <w:b/>
                <w:bCs/>
                <w:color w:val="FFFFFF"/>
                <w:sz w:val="20"/>
                <w:szCs w:val="20"/>
              </w:rPr>
              <w:t>CPPI (Media MC)</w:t>
            </w:r>
          </w:p>
        </w:tc>
        <w:tc>
          <w:tcPr>
            <w:tcW w:w="2960" w:type="dxa"/>
            <w:tcBorders>
              <w:top w:val="single" w:sz="1" w:space="0" w:color="2E4F7A"/>
              <w:left w:val="single" w:sz="1" w:space="0" w:color="2E4F7A"/>
              <w:bottom w:val="single" w:sz="1" w:space="0" w:color="2E4F7A"/>
              <w:right w:val="single" w:sz="1" w:space="0" w:color="2E4F7A"/>
            </w:tcBorders>
            <w:shd w:val="clear" w:color="auto" w:fill="2E4F7A"/>
            <w:tcMar>
              <w:top w:w="80" w:type="dxa"/>
              <w:left w:w="120" w:type="dxa"/>
              <w:bottom w:w="80" w:type="dxa"/>
              <w:right w:w="120" w:type="dxa"/>
            </w:tcMar>
          </w:tcPr>
          <w:p w14:paraId="6D0BAEAC" w14:textId="77777777" w:rsidR="002C4A42" w:rsidRDefault="00000000">
            <w:pPr>
              <w:jc w:val="center"/>
            </w:pPr>
            <w:r>
              <w:rPr>
                <w:b/>
                <w:bCs/>
                <w:color w:val="FFFFFF"/>
                <w:sz w:val="20"/>
                <w:szCs w:val="20"/>
              </w:rPr>
              <w:t>Buy &amp; Hold</w:t>
            </w:r>
          </w:p>
        </w:tc>
      </w:tr>
      <w:tr w:rsidR="002C4A42" w14:paraId="60995DC4"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5DEA4BE" w14:textId="77777777" w:rsidR="002C4A42" w:rsidRDefault="00000000">
            <w:r>
              <w:rPr>
                <w:sz w:val="20"/>
                <w:szCs w:val="20"/>
              </w:rPr>
              <w:t>Valore Finale</w:t>
            </w:r>
          </w:p>
        </w:tc>
        <w:tc>
          <w:tcPr>
            <w:tcW w:w="2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962D808" w14:textId="77777777" w:rsidR="002C4A42" w:rsidRDefault="00000000">
            <w:pPr>
              <w:jc w:val="center"/>
            </w:pPr>
            <w:r>
              <w:rPr>
                <w:sz w:val="20"/>
                <w:szCs w:val="20"/>
              </w:rPr>
              <w:t>1.106,93</w:t>
            </w:r>
          </w:p>
        </w:tc>
        <w:tc>
          <w:tcPr>
            <w:tcW w:w="2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0065791" w14:textId="77777777" w:rsidR="002C4A42" w:rsidRDefault="00000000">
            <w:pPr>
              <w:jc w:val="center"/>
            </w:pPr>
            <w:r>
              <w:rPr>
                <w:sz w:val="20"/>
                <w:szCs w:val="20"/>
              </w:rPr>
              <w:t>1.171,13</w:t>
            </w:r>
          </w:p>
        </w:tc>
        <w:tc>
          <w:tcPr>
            <w:tcW w:w="29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E5A130A" w14:textId="77777777" w:rsidR="002C4A42" w:rsidRDefault="00000000">
            <w:pPr>
              <w:jc w:val="center"/>
            </w:pPr>
            <w:r>
              <w:rPr>
                <w:sz w:val="20"/>
                <w:szCs w:val="20"/>
              </w:rPr>
              <w:t>1.212,51</w:t>
            </w:r>
          </w:p>
        </w:tc>
      </w:tr>
      <w:tr w:rsidR="002C4A42" w14:paraId="5FD233F6"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AF2136" w14:textId="77777777" w:rsidR="002C4A42" w:rsidRDefault="00000000">
            <w:r>
              <w:rPr>
                <w:sz w:val="20"/>
                <w:szCs w:val="20"/>
              </w:rPr>
              <w:t>Rendimento (%)</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99FBDF" w14:textId="77777777" w:rsidR="002C4A42" w:rsidRDefault="00000000">
            <w:pPr>
              <w:jc w:val="center"/>
            </w:pPr>
            <w:r>
              <w:rPr>
                <w:sz w:val="20"/>
                <w:szCs w:val="20"/>
              </w:rPr>
              <w:t>+10.69%</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60592E" w14:textId="77777777" w:rsidR="002C4A42" w:rsidRDefault="00000000">
            <w:pPr>
              <w:jc w:val="center"/>
            </w:pPr>
            <w:r>
              <w:rPr>
                <w:sz w:val="20"/>
                <w:szCs w:val="20"/>
              </w:rPr>
              <w:t>+17.11%</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49F1E8" w14:textId="77777777" w:rsidR="002C4A42" w:rsidRDefault="00000000">
            <w:pPr>
              <w:jc w:val="center"/>
            </w:pPr>
            <w:r>
              <w:rPr>
                <w:sz w:val="20"/>
                <w:szCs w:val="20"/>
              </w:rPr>
              <w:t>+21.25%</w:t>
            </w:r>
          </w:p>
        </w:tc>
      </w:tr>
      <w:tr w:rsidR="002C4A42" w14:paraId="7E6E5308"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E2046C0" w14:textId="77777777" w:rsidR="002C4A42" w:rsidRDefault="00000000">
            <w:r>
              <w:rPr>
                <w:sz w:val="20"/>
                <w:szCs w:val="20"/>
              </w:rPr>
              <w:t>Sharpe Ratio</w:t>
            </w:r>
          </w:p>
        </w:tc>
        <w:tc>
          <w:tcPr>
            <w:tcW w:w="2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746FA2E" w14:textId="77777777" w:rsidR="002C4A42" w:rsidRDefault="00000000">
            <w:pPr>
              <w:jc w:val="center"/>
            </w:pPr>
            <w:r>
              <w:rPr>
                <w:sz w:val="20"/>
                <w:szCs w:val="20"/>
              </w:rPr>
              <w:t>0.387</w:t>
            </w:r>
          </w:p>
        </w:tc>
        <w:tc>
          <w:tcPr>
            <w:tcW w:w="2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8F8AD06" w14:textId="77777777" w:rsidR="002C4A42" w:rsidRDefault="00000000">
            <w:pPr>
              <w:jc w:val="center"/>
            </w:pPr>
            <w:r>
              <w:rPr>
                <w:sz w:val="20"/>
                <w:szCs w:val="20"/>
              </w:rPr>
              <w:t>—</w:t>
            </w:r>
          </w:p>
        </w:tc>
        <w:tc>
          <w:tcPr>
            <w:tcW w:w="29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71291C0" w14:textId="77777777" w:rsidR="002C4A42" w:rsidRDefault="00000000">
            <w:pPr>
              <w:jc w:val="center"/>
            </w:pPr>
            <w:r>
              <w:rPr>
                <w:sz w:val="20"/>
                <w:szCs w:val="20"/>
              </w:rPr>
              <w:t>0.684</w:t>
            </w:r>
          </w:p>
        </w:tc>
      </w:tr>
      <w:tr w:rsidR="002C4A42" w14:paraId="21B43AC1"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744367" w14:textId="77777777" w:rsidR="002C4A42" w:rsidRDefault="00000000">
            <w:r>
              <w:rPr>
                <w:sz w:val="20"/>
                <w:szCs w:val="20"/>
              </w:rPr>
              <w:t xml:space="preserve">Max </w:t>
            </w:r>
            <w:proofErr w:type="spellStart"/>
            <w:r>
              <w:rPr>
                <w:sz w:val="20"/>
                <w:szCs w:val="20"/>
              </w:rPr>
              <w:t>Drawdown</w:t>
            </w:r>
            <w:proofErr w:type="spellEnd"/>
            <w:r>
              <w:rPr>
                <w:sz w:val="20"/>
                <w:szCs w:val="20"/>
              </w:rPr>
              <w:t xml:space="preserve"> (%)</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4ABD08" w14:textId="77777777" w:rsidR="002C4A42" w:rsidRDefault="00000000">
            <w:pPr>
              <w:jc w:val="center"/>
            </w:pPr>
            <w:r>
              <w:rPr>
                <w:sz w:val="20"/>
                <w:szCs w:val="20"/>
              </w:rPr>
              <w:t>-15.82%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42A3FD" w14:textId="77777777" w:rsidR="002C4A42" w:rsidRDefault="00000000">
            <w:pPr>
              <w:jc w:val="center"/>
            </w:pPr>
            <w:r>
              <w:rPr>
                <w:sz w:val="20"/>
                <w:szCs w:val="20"/>
              </w:rPr>
              <w:t>—</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99F0B5" w14:textId="77777777" w:rsidR="002C4A42" w:rsidRDefault="00000000">
            <w:pPr>
              <w:jc w:val="center"/>
            </w:pPr>
            <w:r>
              <w:rPr>
                <w:sz w:val="20"/>
                <w:szCs w:val="20"/>
              </w:rPr>
              <w:t>-15.92%</w:t>
            </w:r>
          </w:p>
        </w:tc>
      </w:tr>
      <w:tr w:rsidR="002C4A42" w14:paraId="007ED02C"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A3EC047" w14:textId="77777777" w:rsidR="002C4A42" w:rsidRDefault="00000000">
            <w:r>
              <w:rPr>
                <w:sz w:val="20"/>
                <w:szCs w:val="20"/>
              </w:rPr>
              <w:t>Violazioni Floor</w:t>
            </w:r>
          </w:p>
        </w:tc>
        <w:tc>
          <w:tcPr>
            <w:tcW w:w="2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463262D" w14:textId="77777777" w:rsidR="002C4A42" w:rsidRDefault="00000000">
            <w:pPr>
              <w:jc w:val="center"/>
            </w:pPr>
            <w:r>
              <w:rPr>
                <w:sz w:val="20"/>
                <w:szCs w:val="20"/>
              </w:rPr>
              <w:t>0%</w:t>
            </w:r>
          </w:p>
        </w:tc>
        <w:tc>
          <w:tcPr>
            <w:tcW w:w="2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ABC8A01" w14:textId="77777777" w:rsidR="002C4A42" w:rsidRDefault="00000000">
            <w:pPr>
              <w:jc w:val="center"/>
            </w:pPr>
            <w:r>
              <w:rPr>
                <w:sz w:val="20"/>
                <w:szCs w:val="20"/>
              </w:rPr>
              <w:t xml:space="preserve">0.0% (su 500 </w:t>
            </w:r>
            <w:proofErr w:type="spellStart"/>
            <w:r>
              <w:rPr>
                <w:sz w:val="20"/>
                <w:szCs w:val="20"/>
              </w:rPr>
              <w:t>sim</w:t>
            </w:r>
            <w:proofErr w:type="spellEnd"/>
            <w:r>
              <w:rPr>
                <w:sz w:val="20"/>
                <w:szCs w:val="20"/>
              </w:rPr>
              <w:t>.)</w:t>
            </w:r>
          </w:p>
        </w:tc>
        <w:tc>
          <w:tcPr>
            <w:tcW w:w="29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E07135E" w14:textId="77777777" w:rsidR="002C4A42" w:rsidRDefault="00000000">
            <w:pPr>
              <w:jc w:val="center"/>
            </w:pPr>
            <w:r>
              <w:rPr>
                <w:sz w:val="20"/>
                <w:szCs w:val="20"/>
              </w:rPr>
              <w:t>N/A</w:t>
            </w:r>
          </w:p>
        </w:tc>
      </w:tr>
    </w:tbl>
    <w:p w14:paraId="53039F97" w14:textId="77777777" w:rsidR="002C4A42" w:rsidRDefault="002C4A42"/>
    <w:p w14:paraId="4D0E4BD2" w14:textId="77777777" w:rsidR="002C4A42" w:rsidRDefault="00000000">
      <w:pPr>
        <w:pStyle w:val="Titolo2"/>
      </w:pPr>
      <w:r>
        <w:t>4b. Confronto CPPI vs Buy &amp; Hold</w:t>
      </w:r>
    </w:p>
    <w:p w14:paraId="387F95ED" w14:textId="77777777" w:rsidR="002C4A42" w:rsidRDefault="00000000">
      <w:r>
        <w:t>Il confronto tra le due strategie si articola su tre dimensioni:</w:t>
      </w:r>
    </w:p>
    <w:p w14:paraId="11A76863" w14:textId="77777777" w:rsidR="002C4A42" w:rsidRDefault="002C4A42"/>
    <w:p w14:paraId="5E5C55C9" w14:textId="77777777" w:rsidR="002C4A42" w:rsidRDefault="00000000">
      <w:r>
        <w:rPr>
          <w:b/>
          <w:bCs/>
        </w:rPr>
        <w:t>Rendimento:</w:t>
      </w:r>
      <w:r>
        <w:t xml:space="preserve"> La strategia Buy &amp; Hold tende a generare rendimenti superiori in mercati trend-rialzisti, in quanto mantiene sempre piena esposizione. La CPPI rinuncia a una quota del rialzo per finanziare la protezione del </w:t>
      </w:r>
      <w:proofErr w:type="spellStart"/>
      <w:r>
        <w:t>floor</w:t>
      </w:r>
      <w:proofErr w:type="spellEnd"/>
      <w:r>
        <w:t>.</w:t>
      </w:r>
    </w:p>
    <w:p w14:paraId="1753E639" w14:textId="77777777" w:rsidR="002C4A42" w:rsidRDefault="002C4A42"/>
    <w:p w14:paraId="08B3E942" w14:textId="77777777" w:rsidR="002C4A42" w:rsidRDefault="00000000">
      <w:r>
        <w:rPr>
          <w:b/>
          <w:bCs/>
        </w:rPr>
        <w:t>Rischio (Sharpe Ratio):</w:t>
      </w:r>
      <w:r>
        <w:t xml:space="preserve"> Il confronto dello Sharpe Ratio rivela la qualità del rendimento per unità di rischio assunta. Nei mercati con alta volatilità bidirezionale, la CPPI tende a migliorare lo Sharpe grazie alla riduzione delle perdite nelle fasi ribassiste.</w:t>
      </w:r>
    </w:p>
    <w:p w14:paraId="79084691" w14:textId="77777777" w:rsidR="002C4A42" w:rsidRDefault="002C4A42"/>
    <w:p w14:paraId="4D880E5A" w14:textId="77777777" w:rsidR="002C4A42" w:rsidRDefault="00000000">
      <w:r>
        <w:rPr>
          <w:b/>
          <w:bCs/>
        </w:rPr>
        <w:t xml:space="preserve">Maximum </w:t>
      </w:r>
      <w:proofErr w:type="spellStart"/>
      <w:r>
        <w:rPr>
          <w:b/>
          <w:bCs/>
        </w:rPr>
        <w:t>Drawdown</w:t>
      </w:r>
      <w:proofErr w:type="spellEnd"/>
      <w:r>
        <w:rPr>
          <w:b/>
          <w:bCs/>
        </w:rPr>
        <w:t>:</w:t>
      </w:r>
      <w:r>
        <w:t xml:space="preserve"> La CPPI presenta per definizione un </w:t>
      </w:r>
      <w:proofErr w:type="spellStart"/>
      <w:r>
        <w:t>drawdown</w:t>
      </w:r>
      <w:proofErr w:type="spellEnd"/>
      <w:r>
        <w:t xml:space="preserve"> massimo limitato (circa V0 − F = 20%), mentre il Buy &amp; Hold può subire </w:t>
      </w:r>
      <w:proofErr w:type="spellStart"/>
      <w:r>
        <w:t>drawdown</w:t>
      </w:r>
      <w:proofErr w:type="spellEnd"/>
      <w:r>
        <w:t xml:space="preserve"> ben superiori in caso di crisi di mercato acute.</w:t>
      </w:r>
    </w:p>
    <w:p w14:paraId="779B7F43" w14:textId="77777777" w:rsidR="002C4A42" w:rsidRDefault="002C4A42"/>
    <w:p w14:paraId="236E351D" w14:textId="77777777" w:rsidR="002C4A42" w:rsidRDefault="00000000">
      <w:r>
        <w:t>La scelta tra le due strategie dipende dall’avversione al rischio dell’investitore e dal contesto di mercato: la CPPI è preferibile quando la protezione del capitale è prioritaria (ad esempio per un investitore con orizzonte breve o per la tutela di un capitale minimo necessario), mentre il Buy &amp; Hold ottimizza il rendimento atteso su orizzonti di lungo periodo.</w:t>
      </w:r>
    </w:p>
    <w:p w14:paraId="55F8521B" w14:textId="77777777" w:rsidR="002C4A42" w:rsidRDefault="002C4A42"/>
    <w:p w14:paraId="3272B4F8" w14:textId="77777777" w:rsidR="002C4A42" w:rsidRDefault="00000000">
      <w:pPr>
        <w:pStyle w:val="Titolo2"/>
      </w:pPr>
      <w:r>
        <w:t>4c. Analisi di Sensitività ai Parametri CPPI</w:t>
      </w:r>
    </w:p>
    <w:p w14:paraId="75955BCB" w14:textId="77777777" w:rsidR="002C4A42" w:rsidRDefault="00000000">
      <w:r>
        <w:t xml:space="preserve">La performance della strategia CPPI dipende criticamente da due parametri principali: il moltiplicatore m e il </w:t>
      </w:r>
      <w:proofErr w:type="spellStart"/>
      <w:r>
        <w:t>floor</w:t>
      </w:r>
      <w:proofErr w:type="spellEnd"/>
      <w:r>
        <w:t xml:space="preserve"> F. L'analisi di sensitività condotta nel notebook permette di valutare il trade-off tra protezione e partecipazione al rialzo.</w:t>
      </w:r>
    </w:p>
    <w:p w14:paraId="7DEF6272" w14:textId="77777777" w:rsidR="002C4A42" w:rsidRDefault="002C4A42"/>
    <w:p w14:paraId="63A0983D" w14:textId="77777777" w:rsidR="002C4A42" w:rsidRDefault="00000000">
      <w:r>
        <w:rPr>
          <w:b/>
          <w:bCs/>
        </w:rPr>
        <w:t>Effetto del moltiplicatore m (con F fisso all’ 80%):</w:t>
      </w:r>
    </w:p>
    <w:p w14:paraId="22FD3A7F" w14:textId="77777777" w:rsidR="002C4A42" w:rsidRDefault="00000000">
      <w:pPr>
        <w:pStyle w:val="Paragrafoelenco"/>
        <w:numPr>
          <w:ilvl w:val="0"/>
          <w:numId w:val="2"/>
        </w:numPr>
      </w:pPr>
      <w:r>
        <w:t>Bassi valori di m (1–2): allocazione rischiosa molto contenuta, forte protezione ma rendimento finale basso. Il portafoglio si comporta quasi come un asset privo di rischio.</w:t>
      </w:r>
    </w:p>
    <w:p w14:paraId="67B9E7E9" w14:textId="77777777" w:rsidR="002C4A42" w:rsidRDefault="00000000">
      <w:pPr>
        <w:pStyle w:val="Paragrafoelenco"/>
        <w:numPr>
          <w:ilvl w:val="0"/>
          <w:numId w:val="2"/>
        </w:numPr>
      </w:pPr>
      <w:r>
        <w:t xml:space="preserve">Alti valori di m (4–6): maggiore esposizione al rischio, rendimenti più alti in mercati rialzisti ma rischio di “cash lock” più elevato nelle fasi ribassiste. Con m troppo elevato, un singolo calo </w:t>
      </w:r>
      <w:proofErr w:type="spellStart"/>
      <w:r>
        <w:t>bruschissimo</w:t>
      </w:r>
      <w:proofErr w:type="spellEnd"/>
      <w:r>
        <w:t xml:space="preserve"> può consumare l’intero </w:t>
      </w:r>
      <w:proofErr w:type="spellStart"/>
      <w:r>
        <w:t>cushion</w:t>
      </w:r>
      <w:proofErr w:type="spellEnd"/>
      <w:r>
        <w:t>, azzerando l’esposizione rischiosa.</w:t>
      </w:r>
    </w:p>
    <w:p w14:paraId="6202C450" w14:textId="77777777" w:rsidR="002C4A42" w:rsidRDefault="00000000">
      <w:pPr>
        <w:pStyle w:val="Paragrafoelenco"/>
        <w:numPr>
          <w:ilvl w:val="0"/>
          <w:numId w:val="2"/>
        </w:numPr>
      </w:pPr>
      <w:r>
        <w:t>Il valore m = 3 rappresenta un buon equilibrio: offre sufficiente protezione minimizzando il costo in termini di rendimento rinunciato.</w:t>
      </w:r>
    </w:p>
    <w:p w14:paraId="1F3215C5" w14:textId="77777777" w:rsidR="002C4A42" w:rsidRDefault="002C4A42"/>
    <w:p w14:paraId="5F79DED6" w14:textId="77777777" w:rsidR="002C4A42" w:rsidRDefault="00000000">
      <w:r>
        <w:rPr>
          <w:b/>
          <w:bCs/>
        </w:rPr>
        <w:t xml:space="preserve">Effetto del </w:t>
      </w:r>
      <w:proofErr w:type="spellStart"/>
      <w:r>
        <w:rPr>
          <w:b/>
          <w:bCs/>
        </w:rPr>
        <w:t>floor</w:t>
      </w:r>
      <w:proofErr w:type="spellEnd"/>
      <w:r>
        <w:rPr>
          <w:b/>
          <w:bCs/>
        </w:rPr>
        <w:t xml:space="preserve"> F (con m fisso a 3):</w:t>
      </w:r>
    </w:p>
    <w:p w14:paraId="6166A164" w14:textId="77777777" w:rsidR="002C4A42" w:rsidRDefault="00000000">
      <w:pPr>
        <w:pStyle w:val="Paragrafoelenco"/>
        <w:numPr>
          <w:ilvl w:val="0"/>
          <w:numId w:val="2"/>
        </w:numPr>
      </w:pPr>
      <w:r>
        <w:t xml:space="preserve">Floor più alto (es. 90%): maggiore protezione ma </w:t>
      </w:r>
      <w:proofErr w:type="spellStart"/>
      <w:r>
        <w:t>cushion</w:t>
      </w:r>
      <w:proofErr w:type="spellEnd"/>
      <w:r>
        <w:t xml:space="preserve"> iniziale molto ridotto (solo il 10% del capitale), limitando fortemente l’allocazione rischiosa massima. La strategia diventa quasi equivalente a un obbligazionario.</w:t>
      </w:r>
    </w:p>
    <w:p w14:paraId="394A5784" w14:textId="77777777" w:rsidR="002C4A42" w:rsidRDefault="00000000">
      <w:pPr>
        <w:pStyle w:val="Paragrafoelenco"/>
        <w:numPr>
          <w:ilvl w:val="0"/>
          <w:numId w:val="2"/>
        </w:numPr>
      </w:pPr>
      <w:r>
        <w:lastRenderedPageBreak/>
        <w:t>Floor più basso (es. 70%): maggior partecipazione al mercato, ma la protezione garantita è inferiore. In caso di crisi, l’investitore può perdere fino al 30% del capitale.</w:t>
      </w:r>
    </w:p>
    <w:p w14:paraId="740C22CA" w14:textId="6A73F6A5" w:rsidR="002C4A42" w:rsidRDefault="00000000">
      <w:pPr>
        <w:pStyle w:val="Paragrafoelenco"/>
        <w:numPr>
          <w:ilvl w:val="0"/>
          <w:numId w:val="2"/>
        </w:numPr>
      </w:pPr>
      <w:r>
        <w:t xml:space="preserve">Il </w:t>
      </w:r>
      <w:proofErr w:type="spellStart"/>
      <w:r>
        <w:t>floor</w:t>
      </w:r>
      <w:proofErr w:type="spellEnd"/>
      <w:r>
        <w:t xml:space="preserve"> all’ 80% bilanciato con m = 3 genera </w:t>
      </w:r>
      <w:r w:rsidR="00F10022">
        <w:t>un cuscinetto</w:t>
      </w:r>
      <w:r>
        <w:t xml:space="preserve"> iniziale sufficiente per un’allocazione rischiosa di partenza pari al 60% (E = 3 × 200 = 600 su 1000).</w:t>
      </w:r>
    </w:p>
    <w:p w14:paraId="109F964C" w14:textId="77777777" w:rsidR="002C4A42" w:rsidRDefault="002C4A42"/>
    <w:p w14:paraId="55559F46" w14:textId="77777777" w:rsidR="002C4A42" w:rsidRDefault="00000000">
      <w:r>
        <w:t xml:space="preserve">In conclusione, la modifica dei parametri deve essere effettuata in funzione del profilo di rischio dell’investitore e del regime di mercato atteso: mercati trend-following favoriscono alti valori di m, mentre mercati volatili e </w:t>
      </w:r>
      <w:proofErr w:type="spellStart"/>
      <w:r>
        <w:t>mean-reverting</w:t>
      </w:r>
      <w:proofErr w:type="spellEnd"/>
      <w:r>
        <w:t xml:space="preserve"> penalizzano la CPPI con m elevato per via del rischio di cash lock.</w:t>
      </w:r>
    </w:p>
    <w:p w14:paraId="50CC2D13" w14:textId="77777777" w:rsidR="002C4A42" w:rsidRDefault="002C4A42"/>
    <w:p w14:paraId="43EA1A47" w14:textId="77777777" w:rsidR="002C4A42" w:rsidRDefault="00000000">
      <w:r>
        <w:br w:type="page"/>
      </w:r>
    </w:p>
    <w:p w14:paraId="06FEF09C" w14:textId="77777777" w:rsidR="002C4A42" w:rsidRDefault="00000000">
      <w:pPr>
        <w:pStyle w:val="Titolo1"/>
      </w:pPr>
      <w:r>
        <w:lastRenderedPageBreak/>
        <w:t>5. Costruzione di Portafoglio</w:t>
      </w:r>
    </w:p>
    <w:p w14:paraId="7D6149D7" w14:textId="77777777" w:rsidR="002C4A42" w:rsidRDefault="00000000">
      <w:pPr>
        <w:pStyle w:val="Titolo2"/>
      </w:pPr>
      <w:r>
        <w:t>5a. Portafoglio ottimale media-varianza</w:t>
      </w:r>
    </w:p>
    <w:p w14:paraId="185AADA7" w14:textId="77777777" w:rsidR="002C4A42" w:rsidRDefault="00000000">
      <w:pPr>
        <w:pStyle w:val="Titolo3"/>
      </w:pPr>
      <w:r>
        <w:t>Metodologia e dati</w:t>
      </w:r>
    </w:p>
    <w:p w14:paraId="69C48C8C" w14:textId="77777777" w:rsidR="002C4A42" w:rsidRDefault="00000000">
      <w:r>
        <w:t>La costruzione del portafoglio ottimale segue il framework di Markowitz (Media-Varianza). Il training set è costituito dai primi 108 mesi di rendimenti logaritmici mensili (aprile 2016 – marzo 2025), coprendo la fase di formazione delle stime. I parametri chiave sono:</w:t>
      </w:r>
    </w:p>
    <w:p w14:paraId="3450CF7F" w14:textId="77777777" w:rsidR="002C4A42" w:rsidRDefault="00000000">
      <w:pPr>
        <w:pStyle w:val="Paragrafoelenco"/>
        <w:numPr>
          <w:ilvl w:val="0"/>
          <w:numId w:val="2"/>
        </w:numPr>
      </w:pPr>
      <w:r>
        <w:t xml:space="preserve">Rendimenti attesi: stimati sia con le medie storiche del training set (approccio </w:t>
      </w:r>
      <w:proofErr w:type="spellStart"/>
      <w:r>
        <w:t>backward-looking</w:t>
      </w:r>
      <w:proofErr w:type="spellEnd"/>
      <w:r>
        <w:t xml:space="preserve">) sia con i rendimenti CAPM calcolati nella sezione 3b (approccio </w:t>
      </w:r>
      <w:proofErr w:type="spellStart"/>
      <w:r>
        <w:t>forward-looking</w:t>
      </w:r>
      <w:proofErr w:type="spellEnd"/>
      <w:r>
        <w:t>).</w:t>
      </w:r>
    </w:p>
    <w:p w14:paraId="1B34FF8C" w14:textId="77777777" w:rsidR="002C4A42" w:rsidRDefault="00000000">
      <w:pPr>
        <w:pStyle w:val="Paragrafoelenco"/>
        <w:numPr>
          <w:ilvl w:val="0"/>
          <w:numId w:val="2"/>
        </w:numPr>
      </w:pPr>
      <w:r>
        <w:t>Matrice di covarianza: calcolata sui rendimenti mensili del training set e annualizzata moltiplicando per 12.</w:t>
      </w:r>
    </w:p>
    <w:p w14:paraId="5B3C717A" w14:textId="77777777" w:rsidR="002C4A42" w:rsidRDefault="00000000">
      <w:pPr>
        <w:pStyle w:val="Paragrafoelenco"/>
        <w:numPr>
          <w:ilvl w:val="0"/>
          <w:numId w:val="2"/>
        </w:numPr>
      </w:pPr>
      <w:r>
        <w:t>Vincolo: solo posizioni lunghe (no short selling), pesi sommano a 1.</w:t>
      </w:r>
    </w:p>
    <w:p w14:paraId="38DA4A6F" w14:textId="77777777" w:rsidR="002C4A42" w:rsidRDefault="002C4A42"/>
    <w:p w14:paraId="29665A7E" w14:textId="77777777" w:rsidR="002C4A42" w:rsidRDefault="00000000">
      <w:pPr>
        <w:pStyle w:val="Titolo3"/>
      </w:pPr>
      <w:r>
        <w:t>Metodo analitico (ottimizzazione numerica)</w:t>
      </w:r>
    </w:p>
    <w:p w14:paraId="56AA6944" w14:textId="77777777" w:rsidR="002C4A42" w:rsidRDefault="00000000">
      <w:r>
        <w:t xml:space="preserve">Tramite minimizzazione numerica con </w:t>
      </w:r>
      <w:proofErr w:type="spellStart"/>
      <w:r>
        <w:t>scipy.optimize.minimize</w:t>
      </w:r>
      <w:proofErr w:type="spellEnd"/>
      <w:r>
        <w:t xml:space="preserve"> (metodo SLSQP) sono stati identificati tre portafogli sulla frontiera efficiente:</w:t>
      </w:r>
    </w:p>
    <w:p w14:paraId="62953935" w14:textId="77777777" w:rsidR="002C4A42" w:rsidRDefault="00000000">
      <w:pPr>
        <w:pStyle w:val="Paragrafoelenco"/>
        <w:numPr>
          <w:ilvl w:val="0"/>
          <w:numId w:val="2"/>
        </w:numPr>
      </w:pPr>
      <w:r>
        <w:t>Portafoglio a Massimo Sharpe Ratio con rendimenti storici: massimizza il rapporto rendimento/rischio usando le medie storiche del training set.</w:t>
      </w:r>
    </w:p>
    <w:p w14:paraId="11C0887D" w14:textId="77777777" w:rsidR="002C4A42" w:rsidRDefault="00000000">
      <w:pPr>
        <w:pStyle w:val="Paragrafoelenco"/>
        <w:numPr>
          <w:ilvl w:val="0"/>
          <w:numId w:val="2"/>
        </w:numPr>
      </w:pPr>
      <w:r>
        <w:t>Portafoglio a Minima Varianza: minimizza la varianza del portafoglio indipendentemente dal rendimento atteso.</w:t>
      </w:r>
    </w:p>
    <w:p w14:paraId="2240DBE9" w14:textId="77777777" w:rsidR="002C4A42" w:rsidRDefault="00000000">
      <w:pPr>
        <w:pStyle w:val="Paragrafoelenco"/>
        <w:numPr>
          <w:ilvl w:val="0"/>
          <w:numId w:val="2"/>
        </w:numPr>
      </w:pPr>
      <w:r>
        <w:t xml:space="preserve">Portafoglio a Massimo Sharpe Ratio con rendimenti CAPM: utilizza come input i rendimenti </w:t>
      </w:r>
      <w:proofErr w:type="spellStart"/>
      <w:r>
        <w:t>forward-looking</w:t>
      </w:r>
      <w:proofErr w:type="spellEnd"/>
      <w:r>
        <w:t xml:space="preserve"> stimati dal CAPM, introducendo un'informazione prospettica.</w:t>
      </w:r>
    </w:p>
    <w:p w14:paraId="2D412B79" w14:textId="77777777" w:rsidR="002C4A42" w:rsidRDefault="002C4A42"/>
    <w:p w14:paraId="382D92C8" w14:textId="77777777" w:rsidR="002C4A42" w:rsidRDefault="00000000">
      <w:pPr>
        <w:pStyle w:val="Titolo3"/>
      </w:pPr>
      <w:r>
        <w:t>Metodo simulazione (10.000 portafogli casuali)</w:t>
      </w:r>
    </w:p>
    <w:p w14:paraId="4764C39E" w14:textId="77777777" w:rsidR="002C4A42" w:rsidRDefault="00000000">
      <w:r>
        <w:t xml:space="preserve">Sono stati generati 10.000 portafogli casuali con pesi estratti da una distribuzione di </w:t>
      </w:r>
      <w:proofErr w:type="spellStart"/>
      <w:r>
        <w:t>Dirichlet</w:t>
      </w:r>
      <w:proofErr w:type="spellEnd"/>
      <w:r>
        <w:t xml:space="preserve"> (somma = 1, tutti positivi). Ogni portafoglio è plottato nel piano Volatilità-Rendimento e colorato in base al proprio Sharpe Ratio, ottenendo la visualizzazione della frontiera efficiente simulata. I portafogli ottimali calcolati con il metodo analitico vengono sovrapposti al grafico come punti di riferimento, verificandone la coerenza con la frontiera empirica.</w:t>
      </w:r>
    </w:p>
    <w:p w14:paraId="7FB170BE" w14:textId="77777777" w:rsidR="002C4A42" w:rsidRDefault="002C4A42"/>
    <w:p w14:paraId="553F1BE3" w14:textId="77777777" w:rsidR="002C4A42" w:rsidRDefault="00000000">
      <w:r>
        <w:t>I pesi e le metriche dei portafogli ottimali sono riassunti nella tabella seguente:</w:t>
      </w:r>
    </w:p>
    <w:p w14:paraId="711DBED6" w14:textId="77777777" w:rsidR="002C4A42" w:rsidRDefault="002C4A42"/>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66"/>
        <w:gridCol w:w="839"/>
        <w:gridCol w:w="839"/>
        <w:gridCol w:w="839"/>
        <w:gridCol w:w="839"/>
        <w:gridCol w:w="839"/>
        <w:gridCol w:w="839"/>
        <w:gridCol w:w="839"/>
        <w:gridCol w:w="839"/>
        <w:gridCol w:w="820"/>
        <w:gridCol w:w="702"/>
      </w:tblGrid>
      <w:tr w:rsidR="002C4A42" w14:paraId="28A81129" w14:textId="77777777">
        <w:trPr>
          <w:tblHeader/>
        </w:trPr>
        <w:tc>
          <w:tcPr>
            <w:tcW w:w="2000" w:type="dxa"/>
            <w:tcBorders>
              <w:top w:val="single" w:sz="1" w:space="0" w:color="2E4F7A"/>
              <w:left w:val="single" w:sz="1" w:space="0" w:color="2E4F7A"/>
              <w:bottom w:val="single" w:sz="1" w:space="0" w:color="2E4F7A"/>
              <w:right w:val="single" w:sz="1" w:space="0" w:color="2E4F7A"/>
            </w:tcBorders>
            <w:shd w:val="clear" w:color="auto" w:fill="2E4F7A"/>
            <w:tcMar>
              <w:top w:w="80" w:type="dxa"/>
              <w:left w:w="120" w:type="dxa"/>
              <w:bottom w:w="80" w:type="dxa"/>
              <w:right w:w="120" w:type="dxa"/>
            </w:tcMar>
          </w:tcPr>
          <w:p w14:paraId="1D2EFCBF" w14:textId="77777777" w:rsidR="002C4A42" w:rsidRDefault="00000000">
            <w:pPr>
              <w:jc w:val="center"/>
            </w:pPr>
            <w:r>
              <w:rPr>
                <w:b/>
                <w:bCs/>
                <w:color w:val="FFFFFF"/>
                <w:sz w:val="20"/>
                <w:szCs w:val="20"/>
              </w:rPr>
              <w:t>Portafoglio</w:t>
            </w:r>
          </w:p>
        </w:tc>
        <w:tc>
          <w:tcPr>
            <w:tcW w:w="750" w:type="dxa"/>
            <w:tcBorders>
              <w:top w:val="single" w:sz="1" w:space="0" w:color="2E4F7A"/>
              <w:left w:val="single" w:sz="1" w:space="0" w:color="2E4F7A"/>
              <w:bottom w:val="single" w:sz="1" w:space="0" w:color="2E4F7A"/>
              <w:right w:val="single" w:sz="1" w:space="0" w:color="2E4F7A"/>
            </w:tcBorders>
            <w:shd w:val="clear" w:color="auto" w:fill="2E4F7A"/>
            <w:tcMar>
              <w:top w:w="80" w:type="dxa"/>
              <w:left w:w="120" w:type="dxa"/>
              <w:bottom w:w="80" w:type="dxa"/>
              <w:right w:w="120" w:type="dxa"/>
            </w:tcMar>
          </w:tcPr>
          <w:p w14:paraId="2EA2FF88" w14:textId="77777777" w:rsidR="002C4A42" w:rsidRDefault="00000000">
            <w:pPr>
              <w:jc w:val="center"/>
            </w:pPr>
            <w:r>
              <w:rPr>
                <w:b/>
                <w:bCs/>
                <w:color w:val="FFFFFF"/>
                <w:sz w:val="20"/>
                <w:szCs w:val="20"/>
              </w:rPr>
              <w:t>XLF</w:t>
            </w:r>
          </w:p>
        </w:tc>
        <w:tc>
          <w:tcPr>
            <w:tcW w:w="750" w:type="dxa"/>
            <w:tcBorders>
              <w:top w:val="single" w:sz="1" w:space="0" w:color="2E4F7A"/>
              <w:left w:val="single" w:sz="1" w:space="0" w:color="2E4F7A"/>
              <w:bottom w:val="single" w:sz="1" w:space="0" w:color="2E4F7A"/>
              <w:right w:val="single" w:sz="1" w:space="0" w:color="2E4F7A"/>
            </w:tcBorders>
            <w:shd w:val="clear" w:color="auto" w:fill="2E4F7A"/>
            <w:tcMar>
              <w:top w:w="80" w:type="dxa"/>
              <w:left w:w="120" w:type="dxa"/>
              <w:bottom w:w="80" w:type="dxa"/>
              <w:right w:w="120" w:type="dxa"/>
            </w:tcMar>
          </w:tcPr>
          <w:p w14:paraId="3E31DD92" w14:textId="77777777" w:rsidR="002C4A42" w:rsidRDefault="00000000">
            <w:pPr>
              <w:jc w:val="center"/>
            </w:pPr>
            <w:r>
              <w:rPr>
                <w:b/>
                <w:bCs/>
                <w:color w:val="FFFFFF"/>
                <w:sz w:val="20"/>
                <w:szCs w:val="20"/>
              </w:rPr>
              <w:t>XLK</w:t>
            </w:r>
          </w:p>
        </w:tc>
        <w:tc>
          <w:tcPr>
            <w:tcW w:w="750" w:type="dxa"/>
            <w:tcBorders>
              <w:top w:val="single" w:sz="1" w:space="0" w:color="2E4F7A"/>
              <w:left w:val="single" w:sz="1" w:space="0" w:color="2E4F7A"/>
              <w:bottom w:val="single" w:sz="1" w:space="0" w:color="2E4F7A"/>
              <w:right w:val="single" w:sz="1" w:space="0" w:color="2E4F7A"/>
            </w:tcBorders>
            <w:shd w:val="clear" w:color="auto" w:fill="2E4F7A"/>
            <w:tcMar>
              <w:top w:w="80" w:type="dxa"/>
              <w:left w:w="120" w:type="dxa"/>
              <w:bottom w:w="80" w:type="dxa"/>
              <w:right w:w="120" w:type="dxa"/>
            </w:tcMar>
          </w:tcPr>
          <w:p w14:paraId="1A0E09BA" w14:textId="77777777" w:rsidR="002C4A42" w:rsidRDefault="00000000">
            <w:pPr>
              <w:jc w:val="center"/>
            </w:pPr>
            <w:r>
              <w:rPr>
                <w:b/>
                <w:bCs/>
                <w:color w:val="FFFFFF"/>
                <w:sz w:val="20"/>
                <w:szCs w:val="20"/>
              </w:rPr>
              <w:t>XLV</w:t>
            </w:r>
          </w:p>
        </w:tc>
        <w:tc>
          <w:tcPr>
            <w:tcW w:w="750" w:type="dxa"/>
            <w:tcBorders>
              <w:top w:val="single" w:sz="1" w:space="0" w:color="2E4F7A"/>
              <w:left w:val="single" w:sz="1" w:space="0" w:color="2E4F7A"/>
              <w:bottom w:val="single" w:sz="1" w:space="0" w:color="2E4F7A"/>
              <w:right w:val="single" w:sz="1" w:space="0" w:color="2E4F7A"/>
            </w:tcBorders>
            <w:shd w:val="clear" w:color="auto" w:fill="2E4F7A"/>
            <w:tcMar>
              <w:top w:w="80" w:type="dxa"/>
              <w:left w:w="120" w:type="dxa"/>
              <w:bottom w:w="80" w:type="dxa"/>
              <w:right w:w="120" w:type="dxa"/>
            </w:tcMar>
          </w:tcPr>
          <w:p w14:paraId="2797D653" w14:textId="77777777" w:rsidR="002C4A42" w:rsidRDefault="00000000">
            <w:pPr>
              <w:jc w:val="center"/>
            </w:pPr>
            <w:r>
              <w:rPr>
                <w:b/>
                <w:bCs/>
                <w:color w:val="FFFFFF"/>
                <w:sz w:val="20"/>
                <w:szCs w:val="20"/>
              </w:rPr>
              <w:t>XLE</w:t>
            </w:r>
          </w:p>
        </w:tc>
        <w:tc>
          <w:tcPr>
            <w:tcW w:w="750" w:type="dxa"/>
            <w:tcBorders>
              <w:top w:val="single" w:sz="1" w:space="0" w:color="2E4F7A"/>
              <w:left w:val="single" w:sz="1" w:space="0" w:color="2E4F7A"/>
              <w:bottom w:val="single" w:sz="1" w:space="0" w:color="2E4F7A"/>
              <w:right w:val="single" w:sz="1" w:space="0" w:color="2E4F7A"/>
            </w:tcBorders>
            <w:shd w:val="clear" w:color="auto" w:fill="2E4F7A"/>
            <w:tcMar>
              <w:top w:w="80" w:type="dxa"/>
              <w:left w:w="120" w:type="dxa"/>
              <w:bottom w:w="80" w:type="dxa"/>
              <w:right w:w="120" w:type="dxa"/>
            </w:tcMar>
          </w:tcPr>
          <w:p w14:paraId="0705F902" w14:textId="77777777" w:rsidR="002C4A42" w:rsidRDefault="00000000">
            <w:pPr>
              <w:jc w:val="center"/>
            </w:pPr>
            <w:r>
              <w:rPr>
                <w:b/>
                <w:bCs/>
                <w:color w:val="FFFFFF"/>
                <w:sz w:val="20"/>
                <w:szCs w:val="20"/>
              </w:rPr>
              <w:t>XLI</w:t>
            </w:r>
          </w:p>
        </w:tc>
        <w:tc>
          <w:tcPr>
            <w:tcW w:w="750" w:type="dxa"/>
            <w:tcBorders>
              <w:top w:val="single" w:sz="1" w:space="0" w:color="2E4F7A"/>
              <w:left w:val="single" w:sz="1" w:space="0" w:color="2E4F7A"/>
              <w:bottom w:val="single" w:sz="1" w:space="0" w:color="2E4F7A"/>
              <w:right w:val="single" w:sz="1" w:space="0" w:color="2E4F7A"/>
            </w:tcBorders>
            <w:shd w:val="clear" w:color="auto" w:fill="2E4F7A"/>
            <w:tcMar>
              <w:top w:w="80" w:type="dxa"/>
              <w:left w:w="120" w:type="dxa"/>
              <w:bottom w:w="80" w:type="dxa"/>
              <w:right w:w="120" w:type="dxa"/>
            </w:tcMar>
          </w:tcPr>
          <w:p w14:paraId="0B2E86D0" w14:textId="77777777" w:rsidR="002C4A42" w:rsidRDefault="00000000">
            <w:pPr>
              <w:jc w:val="center"/>
            </w:pPr>
            <w:r>
              <w:rPr>
                <w:b/>
                <w:bCs/>
                <w:color w:val="FFFFFF"/>
                <w:sz w:val="20"/>
                <w:szCs w:val="20"/>
              </w:rPr>
              <w:t>XLY</w:t>
            </w:r>
          </w:p>
        </w:tc>
        <w:tc>
          <w:tcPr>
            <w:tcW w:w="750" w:type="dxa"/>
            <w:tcBorders>
              <w:top w:val="single" w:sz="1" w:space="0" w:color="2E4F7A"/>
              <w:left w:val="single" w:sz="1" w:space="0" w:color="2E4F7A"/>
              <w:bottom w:val="single" w:sz="1" w:space="0" w:color="2E4F7A"/>
              <w:right w:val="single" w:sz="1" w:space="0" w:color="2E4F7A"/>
            </w:tcBorders>
            <w:shd w:val="clear" w:color="auto" w:fill="2E4F7A"/>
            <w:tcMar>
              <w:top w:w="80" w:type="dxa"/>
              <w:left w:w="120" w:type="dxa"/>
              <w:bottom w:w="80" w:type="dxa"/>
              <w:right w:w="120" w:type="dxa"/>
            </w:tcMar>
          </w:tcPr>
          <w:p w14:paraId="12F69F2D" w14:textId="77777777" w:rsidR="002C4A42" w:rsidRDefault="00000000">
            <w:pPr>
              <w:jc w:val="center"/>
            </w:pPr>
            <w:r>
              <w:rPr>
                <w:b/>
                <w:bCs/>
                <w:color w:val="FFFFFF"/>
                <w:sz w:val="20"/>
                <w:szCs w:val="20"/>
              </w:rPr>
              <w:t>Rend.</w:t>
            </w:r>
          </w:p>
        </w:tc>
        <w:tc>
          <w:tcPr>
            <w:tcW w:w="750" w:type="dxa"/>
            <w:tcBorders>
              <w:top w:val="single" w:sz="1" w:space="0" w:color="2E4F7A"/>
              <w:left w:val="single" w:sz="1" w:space="0" w:color="2E4F7A"/>
              <w:bottom w:val="single" w:sz="1" w:space="0" w:color="2E4F7A"/>
              <w:right w:val="single" w:sz="1" w:space="0" w:color="2E4F7A"/>
            </w:tcBorders>
            <w:shd w:val="clear" w:color="auto" w:fill="2E4F7A"/>
            <w:tcMar>
              <w:top w:w="80" w:type="dxa"/>
              <w:left w:w="120" w:type="dxa"/>
              <w:bottom w:w="80" w:type="dxa"/>
              <w:right w:w="120" w:type="dxa"/>
            </w:tcMar>
          </w:tcPr>
          <w:p w14:paraId="1A452B03" w14:textId="77777777" w:rsidR="002C4A42" w:rsidRDefault="00000000">
            <w:pPr>
              <w:jc w:val="center"/>
            </w:pPr>
            <w:r>
              <w:rPr>
                <w:b/>
                <w:bCs/>
                <w:color w:val="FFFFFF"/>
                <w:sz w:val="20"/>
                <w:szCs w:val="20"/>
              </w:rPr>
              <w:t>Vol.</w:t>
            </w:r>
          </w:p>
        </w:tc>
        <w:tc>
          <w:tcPr>
            <w:tcW w:w="750" w:type="dxa"/>
            <w:tcBorders>
              <w:top w:val="single" w:sz="1" w:space="0" w:color="2E4F7A"/>
              <w:left w:val="single" w:sz="1" w:space="0" w:color="2E4F7A"/>
              <w:bottom w:val="single" w:sz="1" w:space="0" w:color="2E4F7A"/>
              <w:right w:val="single" w:sz="1" w:space="0" w:color="2E4F7A"/>
            </w:tcBorders>
            <w:shd w:val="clear" w:color="auto" w:fill="2E4F7A"/>
            <w:tcMar>
              <w:top w:w="80" w:type="dxa"/>
              <w:left w:w="120" w:type="dxa"/>
              <w:bottom w:w="80" w:type="dxa"/>
              <w:right w:w="120" w:type="dxa"/>
            </w:tcMar>
          </w:tcPr>
          <w:p w14:paraId="6A8FC543" w14:textId="77777777" w:rsidR="002C4A42" w:rsidRDefault="00000000">
            <w:pPr>
              <w:jc w:val="center"/>
            </w:pPr>
            <w:r>
              <w:rPr>
                <w:b/>
                <w:bCs/>
                <w:color w:val="FFFFFF"/>
                <w:sz w:val="20"/>
                <w:szCs w:val="20"/>
              </w:rPr>
              <w:t>Sharpe</w:t>
            </w:r>
          </w:p>
        </w:tc>
        <w:tc>
          <w:tcPr>
            <w:tcW w:w="750" w:type="dxa"/>
            <w:tcBorders>
              <w:top w:val="single" w:sz="1" w:space="0" w:color="2E4F7A"/>
              <w:left w:val="single" w:sz="1" w:space="0" w:color="2E4F7A"/>
              <w:bottom w:val="single" w:sz="1" w:space="0" w:color="2E4F7A"/>
              <w:right w:val="single" w:sz="1" w:space="0" w:color="2E4F7A"/>
            </w:tcBorders>
            <w:shd w:val="clear" w:color="auto" w:fill="2E4F7A"/>
            <w:tcMar>
              <w:top w:w="80" w:type="dxa"/>
              <w:left w:w="120" w:type="dxa"/>
              <w:bottom w:w="80" w:type="dxa"/>
              <w:right w:w="120" w:type="dxa"/>
            </w:tcMar>
          </w:tcPr>
          <w:p w14:paraId="288F9DDE" w14:textId="77777777" w:rsidR="002C4A42" w:rsidRDefault="00000000">
            <w:pPr>
              <w:jc w:val="center"/>
            </w:pPr>
            <w:r>
              <w:rPr>
                <w:b/>
                <w:bCs/>
                <w:color w:val="FFFFFF"/>
                <w:sz w:val="20"/>
                <w:szCs w:val="20"/>
              </w:rPr>
              <w:t>Beta</w:t>
            </w:r>
          </w:p>
        </w:tc>
      </w:tr>
      <w:tr w:rsidR="002C4A42" w14:paraId="5EB588B0"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2A71E9F" w14:textId="77777777" w:rsidR="002C4A42" w:rsidRDefault="00000000">
            <w:r>
              <w:rPr>
                <w:sz w:val="20"/>
                <w:szCs w:val="20"/>
              </w:rPr>
              <w:t>Max Sharpe (storici)</w:t>
            </w:r>
          </w:p>
        </w:tc>
        <w:tc>
          <w:tcPr>
            <w:tcW w:w="75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04E9399" w14:textId="77777777" w:rsidR="002C4A42" w:rsidRDefault="00000000">
            <w:pPr>
              <w:jc w:val="center"/>
            </w:pPr>
            <w:r>
              <w:rPr>
                <w:sz w:val="20"/>
                <w:szCs w:val="20"/>
              </w:rPr>
              <w:t>0.0%</w:t>
            </w:r>
          </w:p>
        </w:tc>
        <w:tc>
          <w:tcPr>
            <w:tcW w:w="75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1814C9F" w14:textId="77777777" w:rsidR="002C4A42" w:rsidRDefault="00000000">
            <w:pPr>
              <w:jc w:val="center"/>
            </w:pPr>
            <w:r>
              <w:rPr>
                <w:sz w:val="20"/>
                <w:szCs w:val="20"/>
              </w:rPr>
              <w:t>100.0%</w:t>
            </w:r>
          </w:p>
        </w:tc>
        <w:tc>
          <w:tcPr>
            <w:tcW w:w="75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86522F1" w14:textId="77777777" w:rsidR="002C4A42" w:rsidRDefault="00000000">
            <w:pPr>
              <w:jc w:val="center"/>
            </w:pPr>
            <w:r>
              <w:rPr>
                <w:sz w:val="20"/>
                <w:szCs w:val="20"/>
              </w:rPr>
              <w:t>0.0%</w:t>
            </w:r>
          </w:p>
        </w:tc>
        <w:tc>
          <w:tcPr>
            <w:tcW w:w="75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AFA2D59" w14:textId="77777777" w:rsidR="002C4A42" w:rsidRDefault="00000000">
            <w:pPr>
              <w:jc w:val="center"/>
            </w:pPr>
            <w:r>
              <w:rPr>
                <w:sz w:val="20"/>
                <w:szCs w:val="20"/>
              </w:rPr>
              <w:t>0.0%</w:t>
            </w:r>
          </w:p>
        </w:tc>
        <w:tc>
          <w:tcPr>
            <w:tcW w:w="75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AAA9934" w14:textId="77777777" w:rsidR="002C4A42" w:rsidRDefault="00000000">
            <w:pPr>
              <w:jc w:val="center"/>
            </w:pPr>
            <w:r>
              <w:rPr>
                <w:sz w:val="20"/>
                <w:szCs w:val="20"/>
              </w:rPr>
              <w:t>0.0%</w:t>
            </w:r>
          </w:p>
        </w:tc>
        <w:tc>
          <w:tcPr>
            <w:tcW w:w="75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DC452FA" w14:textId="77777777" w:rsidR="002C4A42" w:rsidRDefault="00000000">
            <w:pPr>
              <w:jc w:val="center"/>
            </w:pPr>
            <w:r>
              <w:rPr>
                <w:sz w:val="20"/>
                <w:szCs w:val="20"/>
              </w:rPr>
              <w:t>0.0%</w:t>
            </w:r>
          </w:p>
        </w:tc>
        <w:tc>
          <w:tcPr>
            <w:tcW w:w="75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FB04105" w14:textId="77777777" w:rsidR="002C4A42" w:rsidRDefault="00000000">
            <w:pPr>
              <w:jc w:val="center"/>
            </w:pPr>
            <w:r>
              <w:rPr>
                <w:sz w:val="20"/>
                <w:szCs w:val="20"/>
              </w:rPr>
              <w:t>18.23%</w:t>
            </w:r>
          </w:p>
        </w:tc>
        <w:tc>
          <w:tcPr>
            <w:tcW w:w="75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7BB54ED" w14:textId="77777777" w:rsidR="002C4A42" w:rsidRDefault="00000000">
            <w:pPr>
              <w:jc w:val="center"/>
            </w:pPr>
            <w:r>
              <w:rPr>
                <w:sz w:val="20"/>
                <w:szCs w:val="20"/>
              </w:rPr>
              <w:t>19.31%</w:t>
            </w:r>
          </w:p>
        </w:tc>
        <w:tc>
          <w:tcPr>
            <w:tcW w:w="75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8B5E888" w14:textId="77777777" w:rsidR="002C4A42" w:rsidRDefault="00000000">
            <w:pPr>
              <w:jc w:val="center"/>
            </w:pPr>
            <w:r>
              <w:rPr>
                <w:sz w:val="20"/>
                <w:szCs w:val="20"/>
              </w:rPr>
              <w:t>0.711</w:t>
            </w:r>
          </w:p>
        </w:tc>
        <w:tc>
          <w:tcPr>
            <w:tcW w:w="75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5A67A7C" w14:textId="77777777" w:rsidR="002C4A42" w:rsidRDefault="00000000">
            <w:pPr>
              <w:jc w:val="center"/>
            </w:pPr>
            <w:r>
              <w:rPr>
                <w:sz w:val="20"/>
                <w:szCs w:val="20"/>
              </w:rPr>
              <w:t>1.138</w:t>
            </w:r>
          </w:p>
        </w:tc>
      </w:tr>
      <w:tr w:rsidR="002C4A42" w14:paraId="17FDDE2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49B721" w14:textId="77777777" w:rsidR="002C4A42" w:rsidRDefault="00000000">
            <w:r>
              <w:rPr>
                <w:sz w:val="20"/>
                <w:szCs w:val="20"/>
              </w:rPr>
              <w:t>Min Varianza</w:t>
            </w:r>
          </w:p>
        </w:tc>
        <w:tc>
          <w:tcPr>
            <w:tcW w:w="7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035C1C" w14:textId="77777777" w:rsidR="002C4A42" w:rsidRDefault="00000000">
            <w:pPr>
              <w:jc w:val="center"/>
            </w:pPr>
            <w:r>
              <w:rPr>
                <w:sz w:val="20"/>
                <w:szCs w:val="20"/>
              </w:rPr>
              <w:t>3.67%</w:t>
            </w:r>
          </w:p>
        </w:tc>
        <w:tc>
          <w:tcPr>
            <w:tcW w:w="7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F16009" w14:textId="77777777" w:rsidR="002C4A42" w:rsidRDefault="00000000">
            <w:pPr>
              <w:jc w:val="center"/>
            </w:pPr>
            <w:r>
              <w:rPr>
                <w:sz w:val="20"/>
                <w:szCs w:val="20"/>
              </w:rPr>
              <w:t>13.69%</w:t>
            </w:r>
          </w:p>
        </w:tc>
        <w:tc>
          <w:tcPr>
            <w:tcW w:w="7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FE0624" w14:textId="77777777" w:rsidR="002C4A42" w:rsidRDefault="00000000">
            <w:pPr>
              <w:jc w:val="center"/>
            </w:pPr>
            <w:r>
              <w:rPr>
                <w:sz w:val="20"/>
                <w:szCs w:val="20"/>
              </w:rPr>
              <w:t>82.63%</w:t>
            </w:r>
          </w:p>
        </w:tc>
        <w:tc>
          <w:tcPr>
            <w:tcW w:w="7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3EA138" w14:textId="77777777" w:rsidR="002C4A42" w:rsidRDefault="00000000">
            <w:pPr>
              <w:jc w:val="center"/>
            </w:pPr>
            <w:r>
              <w:rPr>
                <w:sz w:val="20"/>
                <w:szCs w:val="20"/>
              </w:rPr>
              <w:t>0.0%</w:t>
            </w:r>
          </w:p>
        </w:tc>
        <w:tc>
          <w:tcPr>
            <w:tcW w:w="7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BBAADA" w14:textId="77777777" w:rsidR="002C4A42" w:rsidRDefault="00000000">
            <w:pPr>
              <w:jc w:val="center"/>
            </w:pPr>
            <w:r>
              <w:rPr>
                <w:sz w:val="20"/>
                <w:szCs w:val="20"/>
              </w:rPr>
              <w:t>0.0%</w:t>
            </w:r>
          </w:p>
        </w:tc>
        <w:tc>
          <w:tcPr>
            <w:tcW w:w="7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9627F1" w14:textId="77777777" w:rsidR="002C4A42" w:rsidRDefault="00000000">
            <w:pPr>
              <w:jc w:val="center"/>
            </w:pPr>
            <w:r>
              <w:rPr>
                <w:sz w:val="20"/>
                <w:szCs w:val="20"/>
              </w:rPr>
              <w:t>0.0%</w:t>
            </w:r>
          </w:p>
        </w:tc>
        <w:tc>
          <w:tcPr>
            <w:tcW w:w="7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870B9D" w14:textId="77777777" w:rsidR="002C4A42" w:rsidRDefault="00000000">
            <w:pPr>
              <w:jc w:val="center"/>
            </w:pPr>
            <w:r>
              <w:rPr>
                <w:sz w:val="20"/>
                <w:szCs w:val="20"/>
              </w:rPr>
              <w:t>11.39%</w:t>
            </w:r>
          </w:p>
        </w:tc>
        <w:tc>
          <w:tcPr>
            <w:tcW w:w="7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D54F51" w14:textId="77777777" w:rsidR="002C4A42" w:rsidRDefault="00000000">
            <w:pPr>
              <w:jc w:val="center"/>
            </w:pPr>
            <w:r>
              <w:rPr>
                <w:sz w:val="20"/>
                <w:szCs w:val="20"/>
              </w:rPr>
              <w:t>13.93%</w:t>
            </w:r>
          </w:p>
        </w:tc>
        <w:tc>
          <w:tcPr>
            <w:tcW w:w="7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50A2A2" w14:textId="77777777" w:rsidR="002C4A42" w:rsidRDefault="00000000">
            <w:pPr>
              <w:jc w:val="center"/>
            </w:pPr>
            <w:r>
              <w:rPr>
                <w:sz w:val="20"/>
                <w:szCs w:val="20"/>
              </w:rPr>
              <w:t>0.495</w:t>
            </w:r>
          </w:p>
        </w:tc>
        <w:tc>
          <w:tcPr>
            <w:tcW w:w="7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7BC9EA" w14:textId="77777777" w:rsidR="002C4A42" w:rsidRDefault="00000000">
            <w:pPr>
              <w:jc w:val="center"/>
            </w:pPr>
            <w:r>
              <w:rPr>
                <w:sz w:val="20"/>
                <w:szCs w:val="20"/>
              </w:rPr>
              <w:t>0.772</w:t>
            </w:r>
          </w:p>
        </w:tc>
      </w:tr>
      <w:tr w:rsidR="002C4A42" w14:paraId="5EFDA0CF"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140D66A" w14:textId="77777777" w:rsidR="002C4A42" w:rsidRDefault="00000000">
            <w:r>
              <w:rPr>
                <w:sz w:val="20"/>
                <w:szCs w:val="20"/>
              </w:rPr>
              <w:t>Max Sharpe (CAPM)</w:t>
            </w:r>
          </w:p>
        </w:tc>
        <w:tc>
          <w:tcPr>
            <w:tcW w:w="75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F6E5C3A" w14:textId="77777777" w:rsidR="002C4A42" w:rsidRDefault="00000000">
            <w:pPr>
              <w:jc w:val="center"/>
            </w:pPr>
            <w:r>
              <w:rPr>
                <w:sz w:val="20"/>
                <w:szCs w:val="20"/>
              </w:rPr>
              <w:t>11.40%</w:t>
            </w:r>
          </w:p>
        </w:tc>
        <w:tc>
          <w:tcPr>
            <w:tcW w:w="75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7D4EDFF" w14:textId="77777777" w:rsidR="002C4A42" w:rsidRDefault="00000000">
            <w:pPr>
              <w:jc w:val="center"/>
            </w:pPr>
            <w:r>
              <w:rPr>
                <w:sz w:val="20"/>
                <w:szCs w:val="20"/>
              </w:rPr>
              <w:t>37.74%</w:t>
            </w:r>
          </w:p>
        </w:tc>
        <w:tc>
          <w:tcPr>
            <w:tcW w:w="75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EBB1534" w14:textId="77777777" w:rsidR="002C4A42" w:rsidRDefault="00000000">
            <w:pPr>
              <w:jc w:val="center"/>
            </w:pPr>
            <w:r>
              <w:rPr>
                <w:sz w:val="20"/>
                <w:szCs w:val="20"/>
              </w:rPr>
              <w:t>17.51%</w:t>
            </w:r>
          </w:p>
        </w:tc>
        <w:tc>
          <w:tcPr>
            <w:tcW w:w="75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A297203" w14:textId="77777777" w:rsidR="002C4A42" w:rsidRDefault="00000000">
            <w:pPr>
              <w:jc w:val="center"/>
            </w:pPr>
            <w:r>
              <w:rPr>
                <w:sz w:val="20"/>
                <w:szCs w:val="20"/>
              </w:rPr>
              <w:t>0.0%</w:t>
            </w:r>
          </w:p>
        </w:tc>
        <w:tc>
          <w:tcPr>
            <w:tcW w:w="75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307BC53" w14:textId="77777777" w:rsidR="002C4A42" w:rsidRDefault="00000000">
            <w:pPr>
              <w:jc w:val="center"/>
            </w:pPr>
            <w:r>
              <w:rPr>
                <w:sz w:val="20"/>
                <w:szCs w:val="20"/>
              </w:rPr>
              <w:t>21.66%</w:t>
            </w:r>
          </w:p>
        </w:tc>
        <w:tc>
          <w:tcPr>
            <w:tcW w:w="75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AD090D2" w14:textId="77777777" w:rsidR="002C4A42" w:rsidRDefault="00000000">
            <w:pPr>
              <w:jc w:val="center"/>
            </w:pPr>
            <w:r>
              <w:rPr>
                <w:sz w:val="20"/>
                <w:szCs w:val="20"/>
              </w:rPr>
              <w:t>11.70%</w:t>
            </w:r>
          </w:p>
        </w:tc>
        <w:tc>
          <w:tcPr>
            <w:tcW w:w="75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E50ABDE" w14:textId="77777777" w:rsidR="002C4A42" w:rsidRDefault="00000000">
            <w:pPr>
              <w:jc w:val="center"/>
            </w:pPr>
            <w:r>
              <w:rPr>
                <w:sz w:val="20"/>
                <w:szCs w:val="20"/>
              </w:rPr>
              <w:t>8.19%</w:t>
            </w:r>
          </w:p>
        </w:tc>
        <w:tc>
          <w:tcPr>
            <w:tcW w:w="75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7DE4CEC" w14:textId="77777777" w:rsidR="002C4A42" w:rsidRDefault="00000000">
            <w:pPr>
              <w:jc w:val="center"/>
            </w:pPr>
            <w:r>
              <w:rPr>
                <w:sz w:val="20"/>
                <w:szCs w:val="20"/>
              </w:rPr>
              <w:t>16.46%</w:t>
            </w:r>
          </w:p>
        </w:tc>
        <w:tc>
          <w:tcPr>
            <w:tcW w:w="75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639DB72" w14:textId="77777777" w:rsidR="002C4A42" w:rsidRDefault="00000000">
            <w:pPr>
              <w:jc w:val="center"/>
            </w:pPr>
            <w:r>
              <w:rPr>
                <w:sz w:val="20"/>
                <w:szCs w:val="20"/>
              </w:rPr>
              <w:t>0.224</w:t>
            </w:r>
          </w:p>
        </w:tc>
        <w:tc>
          <w:tcPr>
            <w:tcW w:w="75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4A4527E" w14:textId="77777777" w:rsidR="002C4A42" w:rsidRDefault="00000000">
            <w:pPr>
              <w:jc w:val="center"/>
            </w:pPr>
            <w:r>
              <w:rPr>
                <w:sz w:val="20"/>
                <w:szCs w:val="20"/>
              </w:rPr>
              <w:t>1.054</w:t>
            </w:r>
          </w:p>
        </w:tc>
      </w:tr>
      <w:tr w:rsidR="002C4A42" w14:paraId="208DF7D2"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0F1AE9" w14:textId="77777777" w:rsidR="002C4A42" w:rsidRDefault="00000000">
            <w:proofErr w:type="spellStart"/>
            <w:r>
              <w:rPr>
                <w:sz w:val="20"/>
                <w:szCs w:val="20"/>
              </w:rPr>
              <w:t>Equal</w:t>
            </w:r>
            <w:proofErr w:type="spellEnd"/>
            <w:r>
              <w:rPr>
                <w:sz w:val="20"/>
                <w:szCs w:val="20"/>
              </w:rPr>
              <w:t xml:space="preserve"> Weight</w:t>
            </w:r>
          </w:p>
        </w:tc>
        <w:tc>
          <w:tcPr>
            <w:tcW w:w="7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884432" w14:textId="77777777" w:rsidR="002C4A42" w:rsidRDefault="00000000">
            <w:pPr>
              <w:jc w:val="center"/>
            </w:pPr>
            <w:r>
              <w:rPr>
                <w:sz w:val="20"/>
                <w:szCs w:val="20"/>
              </w:rPr>
              <w:t>16.67%</w:t>
            </w:r>
          </w:p>
        </w:tc>
        <w:tc>
          <w:tcPr>
            <w:tcW w:w="7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AD0D0D" w14:textId="77777777" w:rsidR="002C4A42" w:rsidRDefault="00000000">
            <w:pPr>
              <w:jc w:val="center"/>
            </w:pPr>
            <w:r>
              <w:rPr>
                <w:sz w:val="20"/>
                <w:szCs w:val="20"/>
              </w:rPr>
              <w:t>16.67%</w:t>
            </w:r>
          </w:p>
        </w:tc>
        <w:tc>
          <w:tcPr>
            <w:tcW w:w="7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DA9239" w14:textId="77777777" w:rsidR="002C4A42" w:rsidRDefault="00000000">
            <w:pPr>
              <w:jc w:val="center"/>
            </w:pPr>
            <w:r>
              <w:rPr>
                <w:sz w:val="20"/>
                <w:szCs w:val="20"/>
              </w:rPr>
              <w:t>16.67%</w:t>
            </w:r>
          </w:p>
        </w:tc>
        <w:tc>
          <w:tcPr>
            <w:tcW w:w="7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288120" w14:textId="77777777" w:rsidR="002C4A42" w:rsidRDefault="00000000">
            <w:pPr>
              <w:jc w:val="center"/>
            </w:pPr>
            <w:r>
              <w:rPr>
                <w:sz w:val="20"/>
                <w:szCs w:val="20"/>
              </w:rPr>
              <w:t>16.67%</w:t>
            </w:r>
          </w:p>
        </w:tc>
        <w:tc>
          <w:tcPr>
            <w:tcW w:w="7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EA276" w14:textId="77777777" w:rsidR="002C4A42" w:rsidRDefault="00000000">
            <w:pPr>
              <w:jc w:val="center"/>
            </w:pPr>
            <w:r>
              <w:rPr>
                <w:sz w:val="20"/>
                <w:szCs w:val="20"/>
              </w:rPr>
              <w:t>16.67%</w:t>
            </w:r>
          </w:p>
        </w:tc>
        <w:tc>
          <w:tcPr>
            <w:tcW w:w="7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DB49AE" w14:textId="77777777" w:rsidR="002C4A42" w:rsidRDefault="00000000">
            <w:pPr>
              <w:jc w:val="center"/>
            </w:pPr>
            <w:r>
              <w:rPr>
                <w:sz w:val="20"/>
                <w:szCs w:val="20"/>
              </w:rPr>
              <w:t>16.67%</w:t>
            </w:r>
          </w:p>
        </w:tc>
        <w:tc>
          <w:tcPr>
            <w:tcW w:w="7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A6769F" w14:textId="77777777" w:rsidR="002C4A42" w:rsidRDefault="00000000">
            <w:pPr>
              <w:jc w:val="center"/>
            </w:pPr>
            <w:r>
              <w:rPr>
                <w:sz w:val="20"/>
                <w:szCs w:val="20"/>
              </w:rPr>
              <w:t>—</w:t>
            </w:r>
          </w:p>
        </w:tc>
        <w:tc>
          <w:tcPr>
            <w:tcW w:w="7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218682" w14:textId="77777777" w:rsidR="002C4A42" w:rsidRDefault="00000000">
            <w:pPr>
              <w:jc w:val="center"/>
            </w:pPr>
            <w:r>
              <w:rPr>
                <w:sz w:val="20"/>
                <w:szCs w:val="20"/>
              </w:rPr>
              <w:t>—</w:t>
            </w:r>
          </w:p>
        </w:tc>
        <w:tc>
          <w:tcPr>
            <w:tcW w:w="7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31ED69" w14:textId="77777777" w:rsidR="002C4A42" w:rsidRDefault="00000000">
            <w:pPr>
              <w:jc w:val="center"/>
            </w:pPr>
            <w:r>
              <w:rPr>
                <w:sz w:val="20"/>
                <w:szCs w:val="20"/>
              </w:rPr>
              <w:t>—</w:t>
            </w:r>
          </w:p>
        </w:tc>
        <w:tc>
          <w:tcPr>
            <w:tcW w:w="7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6DBA3A" w14:textId="77777777" w:rsidR="002C4A42" w:rsidRDefault="00000000">
            <w:pPr>
              <w:jc w:val="center"/>
            </w:pPr>
            <w:r>
              <w:rPr>
                <w:sz w:val="20"/>
                <w:szCs w:val="20"/>
              </w:rPr>
              <w:t>1.051</w:t>
            </w:r>
          </w:p>
        </w:tc>
      </w:tr>
    </w:tbl>
    <w:p w14:paraId="01690856" w14:textId="77777777" w:rsidR="002C4A42" w:rsidRDefault="002C4A42"/>
    <w:p w14:paraId="357184F0" w14:textId="77777777" w:rsidR="002C4A42" w:rsidRDefault="00000000">
      <w:r>
        <w:t xml:space="preserve">Un risultato rilevante è che il portafoglio Max Sharpe con rendimenti storici converge a una soluzione concentrata al 100% su XLK: è una conseguenza nota del modello media-varianza, estremamente sensibile alle stime dei rendimenti attesi. Poiché XLK ha avuto il rendimento storico più alto (18.23% annuo) con una volatilità solo leggermente superiore alla media, l'ottimizzatore lo </w:t>
      </w:r>
      <w:r>
        <w:lastRenderedPageBreak/>
        <w:t>seleziona come unico asset. Il portafoglio Min Varianza invece distribuisce il peso su XLV (82.63%) e XLK (13.69%), riflettendo la volatilità più bassa di XLV (16.5% annuo dalla Prima Prova). Il portafoglio Max Sharpe CAPM è il più diversificato in quanto i rendimenti CAPM sono più omogenei tra i vari ETF.</w:t>
      </w:r>
    </w:p>
    <w:p w14:paraId="5F05BFC8" w14:textId="77777777" w:rsidR="002C4A42" w:rsidRDefault="002C4A42"/>
    <w:p w14:paraId="7A9B43BA" w14:textId="77777777" w:rsidR="002C4A42" w:rsidRDefault="00000000">
      <w:pPr>
        <w:pStyle w:val="Titolo2"/>
      </w:pPr>
      <w:r>
        <w:t>5b. Beta del portafoglio rispetto al mercato</w:t>
      </w:r>
    </w:p>
    <w:p w14:paraId="3182423D" w14:textId="77777777" w:rsidR="002C4A42" w:rsidRDefault="00000000">
      <w:r>
        <w:t>Il beta di portafoglio si calcola come media ponderata dei beta dei sei ETF componenti:</w:t>
      </w:r>
    </w:p>
    <w:p w14:paraId="6D33E7D0" w14:textId="77777777" w:rsidR="002C4A42" w:rsidRDefault="002C4A42"/>
    <w:p w14:paraId="7B51059A" w14:textId="77777777" w:rsidR="002C4A42" w:rsidRDefault="00000000">
      <w:pPr>
        <w:jc w:val="center"/>
      </w:pPr>
      <w:r>
        <w:rPr>
          <w:b/>
          <w:bCs/>
        </w:rPr>
        <w:t>βₚ = Σ wᵢ × βᵢ</w:t>
      </w:r>
    </w:p>
    <w:p w14:paraId="6E50ECA3" w14:textId="77777777" w:rsidR="002C4A42" w:rsidRDefault="002C4A42"/>
    <w:p w14:paraId="3193279F" w14:textId="77777777" w:rsidR="002C4A42" w:rsidRDefault="00000000">
      <w:r>
        <w:t>I beta di portafoglio calcolati sono:</w:t>
      </w:r>
    </w:p>
    <w:p w14:paraId="7563C2B8" w14:textId="77777777" w:rsidR="002C4A42" w:rsidRDefault="00000000">
      <w:pPr>
        <w:pStyle w:val="Paragrafoelenco"/>
        <w:numPr>
          <w:ilvl w:val="0"/>
          <w:numId w:val="2"/>
        </w:numPr>
      </w:pPr>
      <w:r>
        <w:t>Max Sharpe (storici): β = 1.1376 — coincide con il beta di XLK (100% di peso), portafoglio aggressivo.</w:t>
      </w:r>
    </w:p>
    <w:p w14:paraId="0F320362" w14:textId="77777777" w:rsidR="002C4A42" w:rsidRDefault="00000000">
      <w:pPr>
        <w:pStyle w:val="Paragrafoelenco"/>
        <w:numPr>
          <w:ilvl w:val="0"/>
          <w:numId w:val="2"/>
        </w:numPr>
      </w:pPr>
      <w:r>
        <w:t>Min Varianza: β = 0.7717 — il più difensivo, grazie al forte peso su XLV (β = 0.70).</w:t>
      </w:r>
    </w:p>
    <w:p w14:paraId="0CB887DE" w14:textId="77777777" w:rsidR="002C4A42" w:rsidRDefault="00000000">
      <w:pPr>
        <w:pStyle w:val="Paragrafoelenco"/>
        <w:numPr>
          <w:ilvl w:val="0"/>
          <w:numId w:val="2"/>
        </w:numPr>
      </w:pPr>
      <w:r>
        <w:t>Max Sharpe (CAPM): β = 1.0535 — leggermente sopra l'unità, ben diversificato.</w:t>
      </w:r>
    </w:p>
    <w:p w14:paraId="1E410B25" w14:textId="77777777" w:rsidR="002C4A42" w:rsidRDefault="00000000">
      <w:pPr>
        <w:pStyle w:val="Paragrafoelenco"/>
        <w:numPr>
          <w:ilvl w:val="0"/>
          <w:numId w:val="2"/>
        </w:numPr>
      </w:pPr>
      <w:proofErr w:type="spellStart"/>
      <w:r>
        <w:t>Equal</w:t>
      </w:r>
      <w:proofErr w:type="spellEnd"/>
      <w:r>
        <w:t xml:space="preserve"> Weight: β = 1.0512 — quasi perfettamente allineato al mercato, riflette la media dei beta individuali.</w:t>
      </w:r>
    </w:p>
    <w:p w14:paraId="40554676" w14:textId="77777777" w:rsidR="002C4A42" w:rsidRDefault="002C4A42"/>
    <w:p w14:paraId="227CE34D" w14:textId="77777777" w:rsidR="002C4A42" w:rsidRDefault="00000000">
      <w:pPr>
        <w:pStyle w:val="Titolo2"/>
      </w:pPr>
      <w:r>
        <w:t xml:space="preserve">5c. Confronto portafoglio ottimale vs portafoglio </w:t>
      </w:r>
      <w:proofErr w:type="spellStart"/>
      <w:r>
        <w:t>Equal</w:t>
      </w:r>
      <w:proofErr w:type="spellEnd"/>
      <w:r>
        <w:t xml:space="preserve"> Weight</w:t>
      </w:r>
    </w:p>
    <w:p w14:paraId="2C28D0EC" w14:textId="77777777" w:rsidR="002C4A42" w:rsidRDefault="00000000">
      <w:pPr>
        <w:pStyle w:val="Titolo3"/>
      </w:pPr>
      <w:r>
        <w:t>Definizione del portafoglio “effettivo”</w:t>
      </w:r>
    </w:p>
    <w:p w14:paraId="34E3C04E" w14:textId="77777777" w:rsidR="002C4A42" w:rsidRDefault="00000000">
      <w:r>
        <w:t xml:space="preserve">Il portafoglio </w:t>
      </w:r>
      <w:proofErr w:type="spellStart"/>
      <w:r>
        <w:t>Equal</w:t>
      </w:r>
      <w:proofErr w:type="spellEnd"/>
      <w:r>
        <w:t xml:space="preserve"> Weight (EW) è composto da sei ETF con peso uguale (16.67% ciascuno). Rappresenta il portafoglio di riferimento “naif” che un investitore non sofisticato potrebbe costruire senza alcuna ottimizzazione.</w:t>
      </w:r>
    </w:p>
    <w:p w14:paraId="2055509F" w14:textId="77777777" w:rsidR="002C4A42" w:rsidRDefault="002C4A42"/>
    <w:p w14:paraId="0402A6E7" w14:textId="77777777" w:rsidR="002C4A42" w:rsidRDefault="00000000">
      <w:pPr>
        <w:pStyle w:val="Titolo3"/>
      </w:pPr>
      <w:r>
        <w:t>Test out-of-sample: ultimi 12 mesi (aprile 2025 – marzo 2026)</w:t>
      </w:r>
    </w:p>
    <w:p w14:paraId="74C995CD" w14:textId="77777777" w:rsidR="002C4A42" w:rsidRDefault="00000000">
      <w:r>
        <w:t>Il confronto viene effettuato sugli ultimi 12 mesi del campione, utilizzando i pesi ottimizzati sul training set dei primi 108 mesi. I risultati out-of-sample sono i seguenti:</w:t>
      </w:r>
    </w:p>
    <w:p w14:paraId="7484C7EA" w14:textId="77777777" w:rsidR="002C4A42" w:rsidRDefault="002C4A4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800"/>
        <w:gridCol w:w="1700"/>
        <w:gridCol w:w="1600"/>
        <w:gridCol w:w="1660"/>
      </w:tblGrid>
      <w:tr w:rsidR="002C4A42" w14:paraId="15C152B8" w14:textId="77777777">
        <w:trPr>
          <w:tblHeader/>
        </w:trPr>
        <w:tc>
          <w:tcPr>
            <w:tcW w:w="2600" w:type="dxa"/>
            <w:tcBorders>
              <w:top w:val="single" w:sz="1" w:space="0" w:color="2E4F7A"/>
              <w:left w:val="single" w:sz="1" w:space="0" w:color="2E4F7A"/>
              <w:bottom w:val="single" w:sz="1" w:space="0" w:color="2E4F7A"/>
              <w:right w:val="single" w:sz="1" w:space="0" w:color="2E4F7A"/>
            </w:tcBorders>
            <w:shd w:val="clear" w:color="auto" w:fill="2E4F7A"/>
            <w:tcMar>
              <w:top w:w="80" w:type="dxa"/>
              <w:left w:w="120" w:type="dxa"/>
              <w:bottom w:w="80" w:type="dxa"/>
              <w:right w:w="120" w:type="dxa"/>
            </w:tcMar>
          </w:tcPr>
          <w:p w14:paraId="24F65252" w14:textId="77777777" w:rsidR="002C4A42" w:rsidRDefault="00000000">
            <w:pPr>
              <w:jc w:val="center"/>
            </w:pPr>
            <w:r>
              <w:rPr>
                <w:b/>
                <w:bCs/>
                <w:color w:val="FFFFFF"/>
                <w:sz w:val="20"/>
                <w:szCs w:val="20"/>
              </w:rPr>
              <w:t>Portafoglio</w:t>
            </w:r>
          </w:p>
        </w:tc>
        <w:tc>
          <w:tcPr>
            <w:tcW w:w="1800" w:type="dxa"/>
            <w:tcBorders>
              <w:top w:val="single" w:sz="1" w:space="0" w:color="2E4F7A"/>
              <w:left w:val="single" w:sz="1" w:space="0" w:color="2E4F7A"/>
              <w:bottom w:val="single" w:sz="1" w:space="0" w:color="2E4F7A"/>
              <w:right w:val="single" w:sz="1" w:space="0" w:color="2E4F7A"/>
            </w:tcBorders>
            <w:shd w:val="clear" w:color="auto" w:fill="2E4F7A"/>
            <w:tcMar>
              <w:top w:w="80" w:type="dxa"/>
              <w:left w:w="120" w:type="dxa"/>
              <w:bottom w:w="80" w:type="dxa"/>
              <w:right w:w="120" w:type="dxa"/>
            </w:tcMar>
          </w:tcPr>
          <w:p w14:paraId="18C0E670" w14:textId="77777777" w:rsidR="002C4A42" w:rsidRDefault="00000000">
            <w:pPr>
              <w:jc w:val="center"/>
            </w:pPr>
            <w:r>
              <w:rPr>
                <w:b/>
                <w:bCs/>
                <w:color w:val="FFFFFF"/>
                <w:sz w:val="20"/>
                <w:szCs w:val="20"/>
              </w:rPr>
              <w:t>Rend. OOS (%)</w:t>
            </w:r>
          </w:p>
        </w:tc>
        <w:tc>
          <w:tcPr>
            <w:tcW w:w="1700" w:type="dxa"/>
            <w:tcBorders>
              <w:top w:val="single" w:sz="1" w:space="0" w:color="2E4F7A"/>
              <w:left w:val="single" w:sz="1" w:space="0" w:color="2E4F7A"/>
              <w:bottom w:val="single" w:sz="1" w:space="0" w:color="2E4F7A"/>
              <w:right w:val="single" w:sz="1" w:space="0" w:color="2E4F7A"/>
            </w:tcBorders>
            <w:shd w:val="clear" w:color="auto" w:fill="2E4F7A"/>
            <w:tcMar>
              <w:top w:w="80" w:type="dxa"/>
              <w:left w:w="120" w:type="dxa"/>
              <w:bottom w:w="80" w:type="dxa"/>
              <w:right w:w="120" w:type="dxa"/>
            </w:tcMar>
          </w:tcPr>
          <w:p w14:paraId="3B551793" w14:textId="77777777" w:rsidR="002C4A42" w:rsidRDefault="00000000">
            <w:pPr>
              <w:jc w:val="center"/>
            </w:pPr>
            <w:r>
              <w:rPr>
                <w:b/>
                <w:bCs/>
                <w:color w:val="FFFFFF"/>
                <w:sz w:val="20"/>
                <w:szCs w:val="20"/>
              </w:rPr>
              <w:t>Vol. OOS (%)</w:t>
            </w:r>
          </w:p>
        </w:tc>
        <w:tc>
          <w:tcPr>
            <w:tcW w:w="1600" w:type="dxa"/>
            <w:tcBorders>
              <w:top w:val="single" w:sz="1" w:space="0" w:color="2E4F7A"/>
              <w:left w:val="single" w:sz="1" w:space="0" w:color="2E4F7A"/>
              <w:bottom w:val="single" w:sz="1" w:space="0" w:color="2E4F7A"/>
              <w:right w:val="single" w:sz="1" w:space="0" w:color="2E4F7A"/>
            </w:tcBorders>
            <w:shd w:val="clear" w:color="auto" w:fill="2E4F7A"/>
            <w:tcMar>
              <w:top w:w="80" w:type="dxa"/>
              <w:left w:w="120" w:type="dxa"/>
              <w:bottom w:w="80" w:type="dxa"/>
              <w:right w:w="120" w:type="dxa"/>
            </w:tcMar>
          </w:tcPr>
          <w:p w14:paraId="4A7647C8" w14:textId="77777777" w:rsidR="002C4A42" w:rsidRDefault="00000000">
            <w:pPr>
              <w:jc w:val="center"/>
            </w:pPr>
            <w:r>
              <w:rPr>
                <w:b/>
                <w:bCs/>
                <w:color w:val="FFFFFF"/>
                <w:sz w:val="20"/>
                <w:szCs w:val="20"/>
              </w:rPr>
              <w:t>Sharpe OOS</w:t>
            </w:r>
          </w:p>
        </w:tc>
        <w:tc>
          <w:tcPr>
            <w:tcW w:w="1660" w:type="dxa"/>
            <w:tcBorders>
              <w:top w:val="single" w:sz="1" w:space="0" w:color="2E4F7A"/>
              <w:left w:val="single" w:sz="1" w:space="0" w:color="2E4F7A"/>
              <w:bottom w:val="single" w:sz="1" w:space="0" w:color="2E4F7A"/>
              <w:right w:val="single" w:sz="1" w:space="0" w:color="2E4F7A"/>
            </w:tcBorders>
            <w:shd w:val="clear" w:color="auto" w:fill="2E4F7A"/>
            <w:tcMar>
              <w:top w:w="80" w:type="dxa"/>
              <w:left w:w="120" w:type="dxa"/>
              <w:bottom w:w="80" w:type="dxa"/>
              <w:right w:w="120" w:type="dxa"/>
            </w:tcMar>
          </w:tcPr>
          <w:p w14:paraId="36AC9448" w14:textId="77777777" w:rsidR="002C4A42" w:rsidRDefault="00000000">
            <w:pPr>
              <w:jc w:val="center"/>
            </w:pPr>
            <w:r>
              <w:rPr>
                <w:b/>
                <w:bCs/>
                <w:color w:val="FFFFFF"/>
                <w:sz w:val="20"/>
                <w:szCs w:val="20"/>
              </w:rPr>
              <w:t xml:space="preserve">Beta </w:t>
            </w:r>
            <w:proofErr w:type="spellStart"/>
            <w:r>
              <w:rPr>
                <w:b/>
                <w:bCs/>
                <w:color w:val="FFFFFF"/>
                <w:sz w:val="20"/>
                <w:szCs w:val="20"/>
              </w:rPr>
              <w:t>ptf</w:t>
            </w:r>
            <w:proofErr w:type="spellEnd"/>
          </w:p>
        </w:tc>
      </w:tr>
      <w:tr w:rsidR="002C4A42" w14:paraId="20AB3449"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48F180A" w14:textId="77777777" w:rsidR="002C4A42" w:rsidRDefault="00000000">
            <w:r>
              <w:rPr>
                <w:sz w:val="20"/>
                <w:szCs w:val="20"/>
              </w:rPr>
              <w:t>Max Sharpe (storici)</w:t>
            </w:r>
          </w:p>
        </w:tc>
        <w:tc>
          <w:tcPr>
            <w:tcW w:w="1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099FE23" w14:textId="77777777" w:rsidR="002C4A42" w:rsidRDefault="00000000">
            <w:pPr>
              <w:jc w:val="center"/>
            </w:pPr>
            <w:r>
              <w:rPr>
                <w:sz w:val="20"/>
                <w:szCs w:val="20"/>
              </w:rPr>
              <w:t>+21.82%</w:t>
            </w:r>
          </w:p>
        </w:tc>
        <w:tc>
          <w:tcPr>
            <w:tcW w:w="17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EB781FE" w14:textId="77777777" w:rsidR="002C4A42" w:rsidRDefault="00000000">
            <w:pPr>
              <w:jc w:val="center"/>
            </w:pPr>
            <w:r>
              <w:rPr>
                <w:sz w:val="20"/>
                <w:szCs w:val="20"/>
              </w:rPr>
              <w:t>19.76%</w:t>
            </w:r>
          </w:p>
        </w:tc>
        <w:tc>
          <w:tcPr>
            <w:tcW w:w="16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102E216" w14:textId="77777777" w:rsidR="002C4A42" w:rsidRDefault="00000000">
            <w:pPr>
              <w:jc w:val="center"/>
            </w:pPr>
            <w:r>
              <w:rPr>
                <w:sz w:val="20"/>
                <w:szCs w:val="20"/>
              </w:rPr>
              <w:t>0.869</w:t>
            </w:r>
          </w:p>
        </w:tc>
        <w:tc>
          <w:tcPr>
            <w:tcW w:w="16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6A846A7" w14:textId="77777777" w:rsidR="002C4A42" w:rsidRDefault="00000000">
            <w:pPr>
              <w:jc w:val="center"/>
            </w:pPr>
            <w:r>
              <w:rPr>
                <w:sz w:val="20"/>
                <w:szCs w:val="20"/>
              </w:rPr>
              <w:t>1.138</w:t>
            </w:r>
          </w:p>
        </w:tc>
      </w:tr>
      <w:tr w:rsidR="002C4A42" w14:paraId="27829CE2"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019029" w14:textId="77777777" w:rsidR="002C4A42" w:rsidRDefault="00000000">
            <w:r>
              <w:rPr>
                <w:sz w:val="20"/>
                <w:szCs w:val="20"/>
              </w:rPr>
              <w:t>Min Varianza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046536" w14:textId="77777777" w:rsidR="002C4A42" w:rsidRDefault="00000000">
            <w:pPr>
              <w:jc w:val="center"/>
            </w:pPr>
            <w:r>
              <w:rPr>
                <w:sz w:val="20"/>
                <w:szCs w:val="20"/>
              </w:rPr>
              <w:t>+2.01%</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ABAD2C" w14:textId="77777777" w:rsidR="002C4A42" w:rsidRDefault="00000000">
            <w:pPr>
              <w:jc w:val="center"/>
            </w:pPr>
            <w:r>
              <w:rPr>
                <w:sz w:val="20"/>
                <w:szCs w:val="20"/>
              </w:rPr>
              <w:t>15.59%</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1F41AE" w14:textId="77777777" w:rsidR="002C4A42" w:rsidRDefault="00000000">
            <w:pPr>
              <w:jc w:val="center"/>
            </w:pPr>
            <w:r>
              <w:rPr>
                <w:sz w:val="20"/>
                <w:szCs w:val="20"/>
              </w:rPr>
              <w:t>-0.088</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27A21A" w14:textId="77777777" w:rsidR="002C4A42" w:rsidRDefault="00000000">
            <w:pPr>
              <w:jc w:val="center"/>
            </w:pPr>
            <w:r>
              <w:rPr>
                <w:sz w:val="20"/>
                <w:szCs w:val="20"/>
              </w:rPr>
              <w:t>0.772</w:t>
            </w:r>
          </w:p>
        </w:tc>
      </w:tr>
      <w:tr w:rsidR="002C4A42" w14:paraId="06F057CB"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8C950FC" w14:textId="77777777" w:rsidR="002C4A42" w:rsidRDefault="00000000">
            <w:r>
              <w:rPr>
                <w:sz w:val="20"/>
                <w:szCs w:val="20"/>
              </w:rPr>
              <w:t>Max Sharpe (CAPM)</w:t>
            </w:r>
          </w:p>
        </w:tc>
        <w:tc>
          <w:tcPr>
            <w:tcW w:w="1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E34A6F1" w14:textId="77777777" w:rsidR="002C4A42" w:rsidRDefault="00000000">
            <w:pPr>
              <w:jc w:val="center"/>
            </w:pPr>
            <w:r>
              <w:rPr>
                <w:sz w:val="20"/>
                <w:szCs w:val="20"/>
              </w:rPr>
              <w:t>+12.94%</w:t>
            </w:r>
          </w:p>
        </w:tc>
        <w:tc>
          <w:tcPr>
            <w:tcW w:w="17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4F54BC3" w14:textId="77777777" w:rsidR="002C4A42" w:rsidRDefault="00000000">
            <w:pPr>
              <w:jc w:val="center"/>
            </w:pPr>
            <w:r>
              <w:rPr>
                <w:sz w:val="20"/>
                <w:szCs w:val="20"/>
              </w:rPr>
              <w:t>13.50%</w:t>
            </w:r>
          </w:p>
        </w:tc>
        <w:tc>
          <w:tcPr>
            <w:tcW w:w="16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1683402" w14:textId="77777777" w:rsidR="002C4A42" w:rsidRDefault="00000000">
            <w:pPr>
              <w:jc w:val="center"/>
            </w:pPr>
            <w:r>
              <w:rPr>
                <w:sz w:val="20"/>
                <w:szCs w:val="20"/>
              </w:rPr>
              <w:t>0.637</w:t>
            </w:r>
          </w:p>
        </w:tc>
        <w:tc>
          <w:tcPr>
            <w:tcW w:w="16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5A00519" w14:textId="77777777" w:rsidR="002C4A42" w:rsidRDefault="00000000">
            <w:pPr>
              <w:jc w:val="center"/>
            </w:pPr>
            <w:r>
              <w:rPr>
                <w:sz w:val="20"/>
                <w:szCs w:val="20"/>
              </w:rPr>
              <w:t>1.054</w:t>
            </w:r>
          </w:p>
        </w:tc>
      </w:tr>
      <w:tr w:rsidR="002C4A42" w14:paraId="6D5B7AE9"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64B3B4" w14:textId="77777777" w:rsidR="002C4A42" w:rsidRDefault="00000000">
            <w:proofErr w:type="spellStart"/>
            <w:r>
              <w:rPr>
                <w:sz w:val="20"/>
                <w:szCs w:val="20"/>
              </w:rPr>
              <w:t>Equal</w:t>
            </w:r>
            <w:proofErr w:type="spellEnd"/>
            <w:r>
              <w:rPr>
                <w:sz w:val="20"/>
                <w:szCs w:val="20"/>
              </w:rPr>
              <w:t xml:space="preserve"> Weight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4ED9A2" w14:textId="77777777" w:rsidR="002C4A42" w:rsidRDefault="00000000">
            <w:pPr>
              <w:jc w:val="center"/>
            </w:pPr>
            <w:r>
              <w:rPr>
                <w:sz w:val="20"/>
                <w:szCs w:val="20"/>
              </w:rPr>
              <w:t>+13.37%</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FFDC25" w14:textId="77777777" w:rsidR="002C4A42" w:rsidRDefault="00000000">
            <w:pPr>
              <w:jc w:val="center"/>
            </w:pPr>
            <w:r>
              <w:rPr>
                <w:sz w:val="20"/>
                <w:szCs w:val="20"/>
              </w:rPr>
              <w:t>10.20%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AD2513" w14:textId="77777777" w:rsidR="002C4A42" w:rsidRDefault="00000000">
            <w:pPr>
              <w:jc w:val="center"/>
            </w:pPr>
            <w:r>
              <w:rPr>
                <w:sz w:val="20"/>
                <w:szCs w:val="20"/>
              </w:rPr>
              <w:t>0.843</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741521" w14:textId="77777777" w:rsidR="002C4A42" w:rsidRDefault="00000000">
            <w:pPr>
              <w:jc w:val="center"/>
            </w:pPr>
            <w:r>
              <w:rPr>
                <w:sz w:val="20"/>
                <w:szCs w:val="20"/>
              </w:rPr>
              <w:t>1.051</w:t>
            </w:r>
          </w:p>
        </w:tc>
      </w:tr>
    </w:tbl>
    <w:p w14:paraId="69873A5F" w14:textId="77777777" w:rsidR="002C4A42" w:rsidRDefault="002C4A42"/>
    <w:p w14:paraId="03D746ED" w14:textId="77777777" w:rsidR="002C4A42" w:rsidRDefault="00000000">
      <w:r>
        <w:t>Commento ai risultati:</w:t>
      </w:r>
    </w:p>
    <w:p w14:paraId="74C8A199" w14:textId="77777777" w:rsidR="002C4A42" w:rsidRDefault="00000000">
      <w:pPr>
        <w:pStyle w:val="Paragrafoelenco"/>
        <w:numPr>
          <w:ilvl w:val="0"/>
          <w:numId w:val="2"/>
        </w:numPr>
      </w:pPr>
      <w:r>
        <w:t>Il portafoglio Max Sharpe (storici), concentrato al 100% su XLK, è il migliore in termini di rendimento assoluto (+21.82%) ma con la volatilità più alta (19.76%). Questo risultato è favorito dal fatto che il 2025–2026 è stato un anno positivo per il tech, ma è un portafoglio non diversificato e rischioso.</w:t>
      </w:r>
    </w:p>
    <w:p w14:paraId="4FEC70EE" w14:textId="77777777" w:rsidR="002C4A42" w:rsidRDefault="00000000">
      <w:pPr>
        <w:pStyle w:val="Paragrafoelenco"/>
        <w:numPr>
          <w:ilvl w:val="0"/>
          <w:numId w:val="2"/>
        </w:numPr>
      </w:pPr>
      <w:r>
        <w:t>Il portafoglio Min Varianza è il grande deludente out-of-sample: rendimento appena +2.01% e Sharpe negativo (-0.088). Questo è l'effetto classico dell'</w:t>
      </w:r>
      <w:proofErr w:type="spellStart"/>
      <w:r>
        <w:t>overfit</w:t>
      </w:r>
      <w:proofErr w:type="spellEnd"/>
      <w:r>
        <w:t xml:space="preserve"> sulla volatilità storica: XLV, che costituisce l’ 82% del portafoglio, ha sottoperformato nel periodo di test.</w:t>
      </w:r>
    </w:p>
    <w:p w14:paraId="3CB52829" w14:textId="77777777" w:rsidR="002C4A42" w:rsidRDefault="00000000">
      <w:pPr>
        <w:pStyle w:val="Paragrafoelenco"/>
        <w:numPr>
          <w:ilvl w:val="0"/>
          <w:numId w:val="2"/>
        </w:numPr>
      </w:pPr>
      <w:r>
        <w:lastRenderedPageBreak/>
        <w:t xml:space="preserve">Il portafoglio </w:t>
      </w:r>
      <w:proofErr w:type="spellStart"/>
      <w:r>
        <w:t>Equal</w:t>
      </w:r>
      <w:proofErr w:type="spellEnd"/>
      <w:r>
        <w:t xml:space="preserve"> Weight mostra il miglior Sharpe OOS (0.843), appena sopra il Max Sharpe storico (0.869), con la volatilità più bassa (10.20%). Conferma il “puzzle of 1/N” della letteratura finanziaria: la diversificazione ingenua è difficile da battere out-of-sample.</w:t>
      </w:r>
    </w:p>
    <w:p w14:paraId="0CD29499" w14:textId="77777777" w:rsidR="002C4A42" w:rsidRDefault="00000000">
      <w:pPr>
        <w:pStyle w:val="Paragrafoelenco"/>
        <w:numPr>
          <w:ilvl w:val="0"/>
          <w:numId w:val="2"/>
        </w:numPr>
      </w:pPr>
      <w:r>
        <w:t>Il portafoglio Max Sharpe CAPM offre un buon bilanciamento (+12.94%, Sharpe 0.637) grazie alla maggiore diversificazione indotta dai rendimenti attesi più omogenei del CAPM.</w:t>
      </w:r>
    </w:p>
    <w:p w14:paraId="059B740C" w14:textId="77777777" w:rsidR="002C4A42" w:rsidRDefault="002C4A42"/>
    <w:p w14:paraId="37BFA842" w14:textId="77777777" w:rsidR="002C4A42" w:rsidRDefault="00000000">
      <w:r>
        <w:t xml:space="preserve">Conclusione: i risultati confermano che la difficoltà principale della costruzione di portafoglio media-varianza è la stima dei rendimenti attesi. Il portafoglio Min Varianza, pur più robusto del Max Sharpe storico, non è immune dall'instabilità della matrice di covarianza. In pratica, la combinazione tra un approccio </w:t>
      </w:r>
      <w:proofErr w:type="spellStart"/>
      <w:r>
        <w:t>Equal</w:t>
      </w:r>
      <w:proofErr w:type="spellEnd"/>
      <w:r>
        <w:t xml:space="preserve"> Weight e il portafoglio CAPM è spesso preferibile a una soluzione concentrata, soprattutto in contesti di alta incertezza parametrica come il mercato 2025–2026.</w:t>
      </w:r>
    </w:p>
    <w:sectPr w:rsidR="002C4A42">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8F3BEE"/>
    <w:multiLevelType w:val="hybridMultilevel"/>
    <w:tmpl w:val="AA8C3B7C"/>
    <w:lvl w:ilvl="0" w:tplc="51D49196">
      <w:start w:val="1"/>
      <w:numFmt w:val="bullet"/>
      <w:lvlText w:val="•"/>
      <w:lvlJc w:val="left"/>
      <w:pPr>
        <w:ind w:left="720" w:hanging="360"/>
      </w:pPr>
    </w:lvl>
    <w:lvl w:ilvl="1" w:tplc="B8BCB57A">
      <w:numFmt w:val="decimal"/>
      <w:lvlText w:val=""/>
      <w:lvlJc w:val="left"/>
    </w:lvl>
    <w:lvl w:ilvl="2" w:tplc="965233CE">
      <w:numFmt w:val="decimal"/>
      <w:lvlText w:val=""/>
      <w:lvlJc w:val="left"/>
    </w:lvl>
    <w:lvl w:ilvl="3" w:tplc="CE1CB288">
      <w:numFmt w:val="decimal"/>
      <w:lvlText w:val=""/>
      <w:lvlJc w:val="left"/>
    </w:lvl>
    <w:lvl w:ilvl="4" w:tplc="86FAC574">
      <w:numFmt w:val="decimal"/>
      <w:lvlText w:val=""/>
      <w:lvlJc w:val="left"/>
    </w:lvl>
    <w:lvl w:ilvl="5" w:tplc="A90C9C72">
      <w:numFmt w:val="decimal"/>
      <w:lvlText w:val=""/>
      <w:lvlJc w:val="left"/>
    </w:lvl>
    <w:lvl w:ilvl="6" w:tplc="26969024">
      <w:numFmt w:val="decimal"/>
      <w:lvlText w:val=""/>
      <w:lvlJc w:val="left"/>
    </w:lvl>
    <w:lvl w:ilvl="7" w:tplc="18EEA202">
      <w:numFmt w:val="decimal"/>
      <w:lvlText w:val=""/>
      <w:lvlJc w:val="left"/>
    </w:lvl>
    <w:lvl w:ilvl="8" w:tplc="BA8C41A2">
      <w:numFmt w:val="decimal"/>
      <w:lvlText w:val=""/>
      <w:lvlJc w:val="left"/>
    </w:lvl>
  </w:abstractNum>
  <w:abstractNum w:abstractNumId="1" w15:restartNumberingAfterBreak="0">
    <w:nsid w:val="2C864306"/>
    <w:multiLevelType w:val="hybridMultilevel"/>
    <w:tmpl w:val="EDD80D3A"/>
    <w:lvl w:ilvl="0" w:tplc="CB924372">
      <w:start w:val="1"/>
      <w:numFmt w:val="bullet"/>
      <w:lvlText w:val="•"/>
      <w:lvlJc w:val="left"/>
      <w:pPr>
        <w:ind w:left="720" w:hanging="360"/>
      </w:pPr>
    </w:lvl>
    <w:lvl w:ilvl="1" w:tplc="0268BA10">
      <w:start w:val="1"/>
      <w:numFmt w:val="bullet"/>
      <w:lvlText w:val="◦"/>
      <w:lvlJc w:val="left"/>
      <w:pPr>
        <w:ind w:left="1260" w:hanging="360"/>
      </w:pPr>
    </w:lvl>
    <w:lvl w:ilvl="2" w:tplc="935EEF4E">
      <w:numFmt w:val="decimal"/>
      <w:lvlText w:val=""/>
      <w:lvlJc w:val="left"/>
    </w:lvl>
    <w:lvl w:ilvl="3" w:tplc="08920754">
      <w:numFmt w:val="decimal"/>
      <w:lvlText w:val=""/>
      <w:lvlJc w:val="left"/>
    </w:lvl>
    <w:lvl w:ilvl="4" w:tplc="79F62E9C">
      <w:numFmt w:val="decimal"/>
      <w:lvlText w:val=""/>
      <w:lvlJc w:val="left"/>
    </w:lvl>
    <w:lvl w:ilvl="5" w:tplc="6BCCE8DC">
      <w:numFmt w:val="decimal"/>
      <w:lvlText w:val=""/>
      <w:lvlJc w:val="left"/>
    </w:lvl>
    <w:lvl w:ilvl="6" w:tplc="C926494A">
      <w:numFmt w:val="decimal"/>
      <w:lvlText w:val=""/>
      <w:lvlJc w:val="left"/>
    </w:lvl>
    <w:lvl w:ilvl="7" w:tplc="FDB6C3EC">
      <w:numFmt w:val="decimal"/>
      <w:lvlText w:val=""/>
      <w:lvlJc w:val="left"/>
    </w:lvl>
    <w:lvl w:ilvl="8" w:tplc="C7C8DA30">
      <w:numFmt w:val="decimal"/>
      <w:lvlText w:val=""/>
      <w:lvlJc w:val="left"/>
    </w:lvl>
  </w:abstractNum>
  <w:abstractNum w:abstractNumId="2" w15:restartNumberingAfterBreak="0">
    <w:nsid w:val="32F80203"/>
    <w:multiLevelType w:val="hybridMultilevel"/>
    <w:tmpl w:val="C7B86522"/>
    <w:lvl w:ilvl="0" w:tplc="4C12A612">
      <w:start w:val="1"/>
      <w:numFmt w:val="bullet"/>
      <w:lvlText w:val="●"/>
      <w:lvlJc w:val="left"/>
      <w:pPr>
        <w:ind w:left="720" w:hanging="360"/>
      </w:pPr>
    </w:lvl>
    <w:lvl w:ilvl="1" w:tplc="986E23E8">
      <w:start w:val="1"/>
      <w:numFmt w:val="bullet"/>
      <w:lvlText w:val="○"/>
      <w:lvlJc w:val="left"/>
      <w:pPr>
        <w:ind w:left="1440" w:hanging="360"/>
      </w:pPr>
    </w:lvl>
    <w:lvl w:ilvl="2" w:tplc="004475B0">
      <w:start w:val="1"/>
      <w:numFmt w:val="bullet"/>
      <w:lvlText w:val="■"/>
      <w:lvlJc w:val="left"/>
      <w:pPr>
        <w:ind w:left="2160" w:hanging="360"/>
      </w:pPr>
    </w:lvl>
    <w:lvl w:ilvl="3" w:tplc="4928FA04">
      <w:start w:val="1"/>
      <w:numFmt w:val="bullet"/>
      <w:lvlText w:val="●"/>
      <w:lvlJc w:val="left"/>
      <w:pPr>
        <w:ind w:left="2880" w:hanging="360"/>
      </w:pPr>
    </w:lvl>
    <w:lvl w:ilvl="4" w:tplc="119E26B6">
      <w:start w:val="1"/>
      <w:numFmt w:val="bullet"/>
      <w:lvlText w:val="○"/>
      <w:lvlJc w:val="left"/>
      <w:pPr>
        <w:ind w:left="3600" w:hanging="360"/>
      </w:pPr>
    </w:lvl>
    <w:lvl w:ilvl="5" w:tplc="7EE480EE">
      <w:start w:val="1"/>
      <w:numFmt w:val="bullet"/>
      <w:lvlText w:val="■"/>
      <w:lvlJc w:val="left"/>
      <w:pPr>
        <w:ind w:left="4320" w:hanging="360"/>
      </w:pPr>
    </w:lvl>
    <w:lvl w:ilvl="6" w:tplc="C48003E6">
      <w:start w:val="1"/>
      <w:numFmt w:val="bullet"/>
      <w:lvlText w:val="●"/>
      <w:lvlJc w:val="left"/>
      <w:pPr>
        <w:ind w:left="5040" w:hanging="360"/>
      </w:pPr>
    </w:lvl>
    <w:lvl w:ilvl="7" w:tplc="E2BA9884">
      <w:start w:val="1"/>
      <w:numFmt w:val="bullet"/>
      <w:lvlText w:val="●"/>
      <w:lvlJc w:val="left"/>
      <w:pPr>
        <w:ind w:left="5760" w:hanging="360"/>
      </w:pPr>
    </w:lvl>
    <w:lvl w:ilvl="8" w:tplc="716219E6">
      <w:start w:val="1"/>
      <w:numFmt w:val="bullet"/>
      <w:lvlText w:val="●"/>
      <w:lvlJc w:val="left"/>
      <w:pPr>
        <w:ind w:left="6480" w:hanging="360"/>
      </w:pPr>
    </w:lvl>
  </w:abstractNum>
  <w:num w:numId="1" w16cid:durableId="933123367">
    <w:abstractNumId w:val="2"/>
    <w:lvlOverride w:ilvl="0">
      <w:startOverride w:val="1"/>
    </w:lvlOverride>
  </w:num>
  <w:num w:numId="2" w16cid:durableId="9293991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4A42"/>
    <w:rsid w:val="001C4B31"/>
    <w:rsid w:val="002C4A42"/>
    <w:rsid w:val="003A2301"/>
    <w:rsid w:val="003B1431"/>
    <w:rsid w:val="00720FA3"/>
    <w:rsid w:val="008222EB"/>
    <w:rsid w:val="00A537DF"/>
    <w:rsid w:val="00F10022"/>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85CD41"/>
  <w15:docId w15:val="{C78575E8-8251-40AB-9D52-BA8FFB53A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uiPriority w:val="9"/>
    <w:qFormat/>
    <w:pPr>
      <w:spacing w:before="320" w:after="160"/>
      <w:outlineLvl w:val="0"/>
    </w:pPr>
    <w:rPr>
      <w:b/>
      <w:bCs/>
      <w:color w:val="1F3864"/>
      <w:sz w:val="32"/>
      <w:szCs w:val="32"/>
    </w:rPr>
  </w:style>
  <w:style w:type="paragraph" w:styleId="Titolo2">
    <w:name w:val="heading 2"/>
    <w:uiPriority w:val="9"/>
    <w:unhideWhenUsed/>
    <w:qFormat/>
    <w:pPr>
      <w:spacing w:before="240" w:after="120"/>
      <w:outlineLvl w:val="1"/>
    </w:pPr>
    <w:rPr>
      <w:b/>
      <w:bCs/>
      <w:color w:val="2E4F7A"/>
      <w:sz w:val="26"/>
      <w:szCs w:val="26"/>
    </w:rPr>
  </w:style>
  <w:style w:type="paragraph" w:styleId="Titolo3">
    <w:name w:val="heading 3"/>
    <w:uiPriority w:val="9"/>
    <w:unhideWhenUsed/>
    <w:qFormat/>
    <w:pPr>
      <w:spacing w:before="160" w:after="80"/>
      <w:outlineLvl w:val="2"/>
    </w:pPr>
    <w:rPr>
      <w:b/>
      <w:bCs/>
      <w:i/>
      <w:iCs/>
      <w:color w:val="2E75B6"/>
      <w:sz w:val="23"/>
      <w:szCs w:val="23"/>
    </w:rPr>
  </w:style>
  <w:style w:type="paragraph" w:styleId="Titolo4">
    <w:name w:val="heading 4"/>
    <w:uiPriority w:val="9"/>
    <w:semiHidden/>
    <w:unhideWhenUsed/>
    <w:qFormat/>
    <w:pPr>
      <w:outlineLvl w:val="3"/>
    </w:pPr>
    <w:rPr>
      <w:i/>
      <w:iCs/>
      <w:color w:val="2E74B5"/>
    </w:rPr>
  </w:style>
  <w:style w:type="paragraph" w:styleId="Titolo5">
    <w:name w:val="heading 5"/>
    <w:uiPriority w:val="9"/>
    <w:semiHidden/>
    <w:unhideWhenUsed/>
    <w:qFormat/>
    <w:pPr>
      <w:outlineLvl w:val="4"/>
    </w:pPr>
    <w:rPr>
      <w:color w:val="2E74B5"/>
    </w:rPr>
  </w:style>
  <w:style w:type="paragraph" w:styleId="Titolo6">
    <w:name w:val="heading 6"/>
    <w:uiPriority w:val="9"/>
    <w:semiHidden/>
    <w:unhideWhenUsed/>
    <w:qFormat/>
    <w:pPr>
      <w:outlineLvl w:val="5"/>
    </w:pPr>
    <w:rPr>
      <w:color w:val="1F4D7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uiPriority w:val="10"/>
    <w:qFormat/>
    <w:rPr>
      <w:sz w:val="56"/>
      <w:szCs w:val="56"/>
    </w:rPr>
  </w:style>
  <w:style w:type="paragraph" w:customStyle="1" w:styleId="Enfasigrassetto1">
    <w:name w:val="Enfasi (grassetto)1"/>
    <w:qFormat/>
    <w:rPr>
      <w:b/>
      <w:bCs/>
    </w:rPr>
  </w:style>
  <w:style w:type="paragraph" w:styleId="Paragrafoelenco">
    <w:name w:val="List Paragraph"/>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link w:val="TestonotaapidipaginaCarattere"/>
    <w:uiPriority w:val="99"/>
    <w:semiHidden/>
    <w:unhideWhenUsed/>
    <w:rPr>
      <w:sz w:val="20"/>
      <w:szCs w:val="20"/>
    </w:rPr>
  </w:style>
  <w:style w:type="character" w:customStyle="1" w:styleId="TestonotaapidipaginaCarattere">
    <w:name w:val="Testo nota a piè di pagina Carattere"/>
    <w:link w:val="Testonotaapidipagina"/>
    <w:uiPriority w:val="99"/>
    <w:semiHidden/>
    <w:unhideWhenUsed/>
    <w:rPr>
      <w:sz w:val="20"/>
      <w:szCs w:val="20"/>
    </w:rPr>
  </w:style>
  <w:style w:type="character" w:styleId="Rimandonotadichiusura">
    <w:name w:val="endnote reference"/>
    <w:uiPriority w:val="99"/>
    <w:semiHidden/>
    <w:unhideWhenUsed/>
    <w:rPr>
      <w:vertAlign w:val="superscript"/>
    </w:rPr>
  </w:style>
  <w:style w:type="paragraph" w:styleId="Testonotadichiusura">
    <w:name w:val="endnote text"/>
    <w:link w:val="TestonotadichiusuraCarattere"/>
    <w:uiPriority w:val="99"/>
    <w:semiHidden/>
    <w:unhideWhenUsed/>
    <w:rPr>
      <w:sz w:val="20"/>
      <w:szCs w:val="20"/>
    </w:rPr>
  </w:style>
  <w:style w:type="character" w:customStyle="1" w:styleId="TestonotadichiusuraCarattere">
    <w:name w:val="Testo nota di chiusura Carattere"/>
    <w:link w:val="Testonotadichiusur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9</Pages>
  <Words>2564</Words>
  <Characters>14617</Characters>
  <Application>Microsoft Office Word</Application>
  <DocSecurity>0</DocSecurity>
  <Lines>121</Lines>
  <Paragraphs>34</Paragraphs>
  <ScaleCrop>false</ScaleCrop>
  <Company/>
  <LinksUpToDate>false</LinksUpToDate>
  <CharactersWithSpaces>17147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f.paninforni@campus.unimib.it</cp:lastModifiedBy>
  <cp:revision>7</cp:revision>
  <dcterms:created xsi:type="dcterms:W3CDTF">2026-05-16T14:41:00Z</dcterms:created>
  <dcterms:modified xsi:type="dcterms:W3CDTF">2026-05-16T14:54:00Z</dcterms:modified>
</cp:coreProperties>
</file>