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Ludo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Filipe Ferraz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Caio Vieira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1ª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08/10/2018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21/10/2018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do repositório GitHub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do Java 9 nas máquinas dos desenvolvedores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da IDE no ambiente de desenvolvimento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do tabuleiro (Caio)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Sistema de rolagem de dados (Caio)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Seleção de peça (Filipe)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Movimentação de peça (Filipe)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