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Sankofa</w:t>
      </w:r>
      <w:r>
        <w:t xml:space="preserve"> </w:t>
      </w:r>
      <w:r>
        <w:t xml:space="preserve">—</w:t>
      </w:r>
      <w:r>
        <w:t xml:space="preserve"> </w:t>
      </w:r>
      <w:r>
        <w:t xml:space="preserve">Documentação</w:t>
      </w:r>
      <w:r>
        <w:t xml:space="preserve"> </w:t>
      </w:r>
      <w:r>
        <w:t xml:space="preserve">Completa</w:t>
      </w:r>
    </w:p>
    <w:p>
      <w:pPr>
        <w:pStyle w:val="Subtitle"/>
      </w:pPr>
      <w:r>
        <w:t xml:space="preserve">Fragmentos</w:t>
      </w:r>
      <w:r>
        <w:t xml:space="preserve"> </w:t>
      </w:r>
      <w:r>
        <w:t xml:space="preserve">da</w:t>
      </w:r>
      <w:r>
        <w:t xml:space="preserve"> </w:t>
      </w:r>
      <w:r>
        <w:t xml:space="preserve">África</w:t>
      </w:r>
      <w:r>
        <w:t xml:space="preserve"> </w:t>
      </w:r>
      <w:r>
        <w:t xml:space="preserve">·</w:t>
      </w:r>
      <w:r>
        <w:t xml:space="preserve"> </w:t>
      </w:r>
      <w:r>
        <w:t xml:space="preserve">Jogo</w:t>
      </w:r>
      <w:r>
        <w:t xml:space="preserve"> </w:t>
      </w:r>
      <w:r>
        <w:t xml:space="preserve">educativo</w:t>
      </w:r>
      <w:r>
        <w:t xml:space="preserve"> </w:t>
      </w:r>
      <w:r>
        <w:t xml:space="preserve">de</w:t>
      </w:r>
      <w:r>
        <w:t xml:space="preserve"> </w:t>
      </w:r>
      <w:r>
        <w:t xml:space="preserve">enigmas</w:t>
      </w:r>
      <w:r>
        <w:t xml:space="preserve"> </w:t>
      </w:r>
      <w:r>
        <w:t xml:space="preserve">sobre</w:t>
      </w:r>
      <w:r>
        <w:t xml:space="preserve"> </w:t>
      </w:r>
      <w:r>
        <w:t xml:space="preserve">a</w:t>
      </w:r>
      <w:r>
        <w:t xml:space="preserve"> </w:t>
      </w:r>
      <w:r>
        <w:t xml:space="preserve">HGA</w:t>
      </w:r>
      <w:r>
        <w:t xml:space="preserve"> </w:t>
      </w:r>
      <w:r>
        <w:t xml:space="preserve">UNESCO</w:t>
      </w:r>
    </w:p>
    <w:p>
      <w:pPr>
        <w:pStyle w:val="Author"/>
      </w:pPr>
      <w:r>
        <w:t xml:space="preserve">Filipe</w:t>
      </w:r>
      <w:r>
        <w:t xml:space="preserve"> </w:t>
      </w:r>
      <w:r>
        <w:t xml:space="preserve">Buba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0" w:name="sumário-do-volume"/>
    <w:p>
      <w:pPr>
        <w:pStyle w:val="Heading1"/>
      </w:pPr>
      <w:r>
        <w:t xml:space="preserve">Sumário do volume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README</w:t>
      </w:r>
      <w:r>
        <w:t xml:space="preserve"> </w:t>
      </w:r>
      <w:r>
        <w:t xml:space="preserve">— Visão geral e estrutura do projeto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Conceito</w:t>
      </w:r>
      <w:r>
        <w:t xml:space="preserve"> </w:t>
      </w:r>
      <w:r>
        <w:t xml:space="preserve">— Tese, problema, princípios de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Roadmap</w:t>
      </w:r>
      <w:r>
        <w:t xml:space="preserve"> </w:t>
      </w:r>
      <w:r>
        <w:t xml:space="preserve">— Fases 0–4 do desenvolvimento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</w:t>
      </w:r>
      <w:r>
        <w:t xml:space="preserve"> </w:t>
      </w:r>
      <w:r>
        <w:t xml:space="preserve">— Motor de instrumentos africanos sintetizados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</w:t>
      </w:r>
      <w:r>
        <w:t xml:space="preserve"> </w:t>
      </w:r>
      <w:r>
        <w:t xml:space="preserve">— Setup do leaderboard Supabase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Monetização</w:t>
      </w:r>
      <w:r>
        <w:t xml:space="preserve"> </w:t>
      </w:r>
      <w:r>
        <w:t xml:space="preserve">— Estratégia nacional e internacional (15 secções)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Pitch Deck</w:t>
      </w:r>
      <w:r>
        <w:t xml:space="preserve"> </w:t>
      </w:r>
      <w:r>
        <w:t xml:space="preserve">— 10 slides para apresentação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Cartas-modelo</w:t>
      </w:r>
      <w:r>
        <w:t xml:space="preserve"> </w:t>
      </w:r>
      <w:r>
        <w:t xml:space="preserve">— Templates ESG, UNESCO, Prefeitura, Escola, Editais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One-Pager</w:t>
      </w:r>
      <w:r>
        <w:t xml:space="preserve"> </w:t>
      </w:r>
      <w:r>
        <w:t xml:space="preserve">— Material para distribuição em rua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1. README do projeto</w:t>
      </w:r>
    </w:p>
    <w:bookmarkStart w:id="20" w:name="sankofa-fragmentos-da-áfrica"/>
    <w:p>
      <w:pPr>
        <w:pStyle w:val="Heading2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End w:id="20"/>
    <w:bookmarkStart w:id="21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1"/>
    <w:bookmarkStart w:id="22" w:name="estado-atual-mvp-mundo-1"/>
    <w:p>
      <w:pPr>
        <w:pStyle w:val="Heading2"/>
      </w:pPr>
      <w:r>
        <w:t xml:space="preserve">Estado atual (MVP — Mundo 1)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de mundos → mundo → enigma → resultado → mosaico → perfil → conquistas → desafio diário.</w:t>
      </w:r>
    </w:p>
    <w:p>
      <w:pPr>
        <w:numPr>
          <w:ilvl w:val="0"/>
          <w:numId w:val="1002"/>
        </w:numPr>
        <w:pStyle w:val="Compact"/>
      </w:pPr>
      <w:r>
        <w:t xml:space="preserve">5 enigmas jogáveis baseados no Volume I da HGA.</w:t>
      </w:r>
    </w:p>
    <w:p>
      <w:pPr>
        <w:numPr>
          <w:ilvl w:val="0"/>
          <w:numId w:val="1002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2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2"/>
        </w:numPr>
        <w:pStyle w:val="Compact"/>
      </w:pPr>
      <w:r>
        <w:t xml:space="preserve">Mosaico de fragmentos com gradientes próprios.</w:t>
      </w:r>
    </w:p>
    <w:p>
      <w:pPr>
        <w:numPr>
          <w:ilvl w:val="0"/>
          <w:numId w:val="1002"/>
        </w:numPr>
        <w:pStyle w:val="Compact"/>
      </w:pPr>
      <w:r>
        <w:t xml:space="preserve">Persistência local com migração automática de chaves antigas.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2"/>
        </w:numPr>
        <w:pStyle w:val="Compact"/>
      </w:pPr>
      <w:r>
        <w:t xml:space="preserve">8 capas de mundo (PNG) integradas nos cartões e na tela do mundo.</w:t>
      </w:r>
    </w:p>
    <w:bookmarkEnd w:id="22"/>
    <w:bookmarkStart w:id="23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escuro ouro/terra/verde/índigo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 de telas, lógica de enigma, conquistas</w:t>
      </w:r>
      <w:r>
        <w:br/>
      </w:r>
      <w:r>
        <w:rPr>
          <w:rStyle w:val="VerbatimChar"/>
        </w:rPr>
        <w:t xml:space="preserve">│   └── audio.js            # motor de instrumentos africanos (Web Audio API)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enigmas (Mundo 1 = 5 entradas)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└── achievements.js     # 10 conquistas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└── world-1..8-*.png    # capas dos 8 mundos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CONCEITO.md         # tese, problema, princípios</w:t>
      </w:r>
      <w:r>
        <w:br/>
      </w:r>
      <w:r>
        <w:rPr>
          <w:rStyle w:val="VerbatimChar"/>
        </w:rPr>
        <w:t xml:space="preserve">│   ├── ROADMAP.md          # fases 0–4</w:t>
      </w:r>
      <w:r>
        <w:br/>
      </w:r>
      <w:r>
        <w:rPr>
          <w:rStyle w:val="VerbatimChar"/>
        </w:rPr>
        <w:t xml:space="preserve">│   ├── AUDIO.md            # mapa instrumento ↔ evento</w:t>
      </w:r>
      <w:r>
        <w:br/>
      </w:r>
      <w:r>
        <w:rPr>
          <w:rStyle w:val="VerbatimChar"/>
        </w:rPr>
        <w:t xml:space="preserve">│   └── raw/                # material original arquivado</w:t>
      </w:r>
      <w:r>
        <w:br/>
      </w:r>
      <w:r>
        <w:rPr>
          <w:rStyle w:val="VerbatimChar"/>
        </w:rPr>
        <w:t xml:space="preserve">└── .claude/</w:t>
      </w:r>
      <w:r>
        <w:br/>
      </w:r>
      <w:r>
        <w:rPr>
          <w:rStyle w:val="VerbatimChar"/>
        </w:rPr>
        <w:t xml:space="preserve">    └── skills/             # sankofa-add-enigma, -add-world, -tune-audio</w:t>
      </w:r>
    </w:p>
    <w:bookmarkEnd w:id="23"/>
    <w:bookmarkStart w:id="24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4"/>
        </w:numPr>
        <w:pStyle w:val="Compact"/>
      </w:pPr>
      <w:r>
        <w:t xml:space="preserve">Push pro GitHub</w:t>
      </w:r>
    </w:p>
    <w:p>
      <w:pPr>
        <w:numPr>
          <w:ilvl w:val="0"/>
          <w:numId w:val="1004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4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5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7"/>
        </w:numPr>
        <w:pStyle w:val="Compact"/>
      </w:pPr>
      <w:r>
        <w:t xml:space="preserve">Validar enigmas com especialista em HGA / educação básica.</w:t>
      </w:r>
    </w:p>
    <w:p>
      <w:pPr>
        <w:numPr>
          <w:ilvl w:val="0"/>
          <w:numId w:val="1007"/>
        </w:numPr>
        <w:pStyle w:val="Compact"/>
      </w:pPr>
      <w:r>
        <w:t xml:space="preserve">Acrescentar mais 10 enigmas para fechar o Mundo 1 com 15 desafios.</w:t>
      </w:r>
    </w:p>
    <w:p>
      <w:pPr>
        <w:numPr>
          <w:ilvl w:val="0"/>
          <w:numId w:val="1007"/>
        </w:numPr>
        <w:pStyle w:val="Compact"/>
      </w:pPr>
      <w:r>
        <w:t xml:space="preserve">Iniciar Mundo 2 (Reinos do Nilo, Volume II) com 8 enigmas piloto.</w:t>
      </w:r>
    </w:p>
    <w:p>
      <w:pPr>
        <w:numPr>
          <w:ilvl w:val="0"/>
          <w:numId w:val="1007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7"/>
        </w:numPr>
        <w:pStyle w:val="Compact"/>
      </w:pPr>
      <w:r>
        <w:t xml:space="preserve">Auditoria de acessibilidade (contraste AAA, foco visível, leitor de tela).</w:t>
      </w:r>
    </w:p>
    <w:p>
      <w:pPr>
        <w:numPr>
          <w:ilvl w:val="0"/>
          <w:numId w:val="1007"/>
        </w:numPr>
        <w:pStyle w:val="Compact"/>
      </w:pPr>
      <w:r>
        <w:t xml:space="preserve">Publicação online (GitHub Pages ou Vercel).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9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9"/>
        </w:numPr>
        <w:pStyle w:val="Compact"/>
      </w:pPr>
      <w:hyperlink r:id="rId31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9"/>
        </w:numPr>
        <w:pStyle w:val="Compact"/>
      </w:pPr>
      <w:hyperlink r:id="rId32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9"/>
        </w:numPr>
        <w:pStyle w:val="Compact"/>
      </w:pPr>
      <w:hyperlink r:id="rId33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9"/>
        </w:numPr>
        <w:pStyle w:val="Compact"/>
      </w:pPr>
      <w:hyperlink r:id="rId34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Volume VIII – África contemporânea (1975-2000)</w:t>
        </w:r>
      </w:hyperlink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2. Conceito</w:t>
      </w:r>
    </w:p>
    <w:bookmarkEnd w:id="39"/>
    <w:bookmarkStart w:id="40" w:name="sankofa-fragmentos-da-áfrica-1"/>
    <w:p>
      <w:pPr>
        <w:pStyle w:val="Heading2"/>
      </w:pPr>
      <w:r>
        <w:t xml:space="preserve">Sankofa — Fragmentos da África</w:t>
      </w:r>
    </w:p>
    <w:bookmarkEnd w:id="40"/>
    <w:bookmarkStart w:id="41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41"/>
    <w:bookmarkStart w:id="42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42"/>
    <w:bookmarkStart w:id="43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10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10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10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10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10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10"/>
        </w:numPr>
        <w:pStyle w:val="Compact"/>
      </w:pPr>
      <w:r>
        <w:t xml:space="preserve">curiosidade extra;</w:t>
      </w:r>
    </w:p>
    <w:p>
      <w:pPr>
        <w:numPr>
          <w:ilvl w:val="0"/>
          <w:numId w:val="1010"/>
        </w:numPr>
        <w:pStyle w:val="Compact"/>
      </w:pPr>
      <w:r>
        <w:t xml:space="preserve">pontos, conquistas e progresso local.</w:t>
      </w:r>
    </w:p>
    <w:bookmarkEnd w:id="43"/>
    <w:bookmarkStart w:id="44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44"/>
    <w:bookmarkStart w:id="45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45"/>
    <w:bookmarkStart w:id="46" w:name="recorte-do-mvp"/>
    <w:p>
      <w:pPr>
        <w:pStyle w:val="Heading2"/>
      </w:pPr>
      <w:r>
        <w:t xml:space="preserve">Recorte do MVP</w:t>
      </w:r>
    </w:p>
    <w:p>
      <w:pPr>
        <w:pStyle w:val="FirstParagraph"/>
      </w:pPr>
      <w:r>
        <w:t xml:space="preserve">O MVP cobre o</w:t>
      </w:r>
      <w:r>
        <w:t xml:space="preserve"> </w:t>
      </w:r>
      <w:r>
        <w:rPr>
          <w:bCs/>
          <w:b/>
        </w:rPr>
        <w:t xml:space="preserve">Mundo 1: Origens</w:t>
      </w:r>
      <w:r>
        <w:t xml:space="preserve"> </w:t>
      </w:r>
      <w:r>
        <w:t xml:space="preserve">com 5 enigmas validados a partir do Volume I da HGA:</w:t>
      </w:r>
    </w:p>
    <w:p>
      <w:pPr>
        <w:numPr>
          <w:ilvl w:val="0"/>
          <w:numId w:val="1012"/>
        </w:numPr>
        <w:pStyle w:val="Compact"/>
      </w:pPr>
      <w:r>
        <w:t xml:space="preserve">O Berço (Vale do Rift / Lucy)</w:t>
      </w:r>
    </w:p>
    <w:p>
      <w:pPr>
        <w:numPr>
          <w:ilvl w:val="0"/>
          <w:numId w:val="1012"/>
        </w:numPr>
        <w:pStyle w:val="Compact"/>
      </w:pPr>
      <w:r>
        <w:t xml:space="preserve">O Deserto que Foi Jardim (Saara verde / Tassili n’Ajjer)</w:t>
      </w:r>
    </w:p>
    <w:p>
      <w:pPr>
        <w:numPr>
          <w:ilvl w:val="0"/>
          <w:numId w:val="1012"/>
        </w:numPr>
        <w:pStyle w:val="Compact"/>
      </w:pPr>
      <w:r>
        <w:t xml:space="preserve">Os Tecelões do Fogo (metalurgia do ferro / Cyamudongo)</w:t>
      </w:r>
    </w:p>
    <w:p>
      <w:pPr>
        <w:numPr>
          <w:ilvl w:val="0"/>
          <w:numId w:val="1012"/>
        </w:numPr>
        <w:pStyle w:val="Compact"/>
      </w:pPr>
      <w:r>
        <w:t xml:space="preserve">A Grande Caminhada (expansão Bantu)</w:t>
      </w:r>
    </w:p>
    <w:p>
      <w:pPr>
        <w:numPr>
          <w:ilvl w:val="0"/>
          <w:numId w:val="1012"/>
        </w:numPr>
        <w:pStyle w:val="Compact"/>
      </w:pPr>
      <w:r>
        <w:t xml:space="preserve">A Arte nas Pedras (arte rupestre saariana)</w:t>
      </w:r>
    </w:p>
    <w:p>
      <w:pPr>
        <w:pStyle w:val="FirstParagraph"/>
      </w:pPr>
      <w:r>
        <w:t xml:space="preserve">Estrutura permite expansão para 8 mundos (até</w:t>
      </w:r>
      <w:r>
        <w:t xml:space="preserve"> </w:t>
      </w:r>
      <w:r>
        <w:t xml:space="preserve">“</w:t>
      </w:r>
      <w:r>
        <w:t xml:space="preserve">Luta e Liberdade</w:t>
      </w:r>
      <w:r>
        <w:t xml:space="preserve">”</w:t>
      </w:r>
      <w:r>
        <w:t xml:space="preserve">, séc. XIX–XXI).</w:t>
      </w:r>
    </w:p>
    <w:bookmarkEnd w:id="46"/>
    <w:bookmarkStart w:id="47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não bloqueia.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bookmarkEnd w:id="47"/>
    <w:bookmarkStart w:id="48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3. Roadmap</w:t>
      </w:r>
    </w:p>
    <w:bookmarkEnd w:id="48"/>
    <w:bookmarkStart w:id="49" w:name="roadmap"/>
    <w:p>
      <w:pPr>
        <w:pStyle w:val="Heading2"/>
      </w:pPr>
      <w:r>
        <w:t xml:space="preserve">Roadmap</w:t>
      </w:r>
    </w:p>
    <w:bookmarkEnd w:id="49"/>
    <w:bookmarkStart w:id="5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14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14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14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14"/>
        </w:numPr>
        <w:pStyle w:val="Compact"/>
      </w:pPr>
      <w:r>
        <w:t xml:space="preserve">Protótipo navegável em HTML/CSS/JS estático.</w:t>
      </w:r>
    </w:p>
    <w:bookmarkEnd w:id="50"/>
    <w:bookmarkStart w:id="51" w:name="fase-1-protótipo-jogável-atual"/>
    <w:p>
      <w:pPr>
        <w:pStyle w:val="Heading2"/>
      </w:pPr>
      <w:r>
        <w:t xml:space="preserve">Fase 1 — Protótipo jogável ✅ (atual)</w:t>
      </w:r>
    </w:p>
    <w:p>
      <w:pPr>
        <w:numPr>
          <w:ilvl w:val="0"/>
          <w:numId w:val="1015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15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15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15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Visual em paleta ouro/terra/verde/índigo, fontes Playfair Display + Lora.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15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(estilo Duolingo / Wordscapes)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 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</w:t>
      </w:r>
      <w:r>
        <w:t xml:space="preserve"> </w:t>
      </w:r>
      <w:r>
        <w:t xml:space="preserve">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 tela de resultado avança automaticamente</w:t>
      </w:r>
      <w:r>
        <w:t xml:space="preserve"> </w:t>
      </w:r>
      <w:r>
        <w:t xml:space="preserve">para o próximo enigma sem voltar à lista. Lista permanece acessível como secundária.</w:t>
      </w:r>
    </w:p>
    <w:bookmarkEnd w:id="51"/>
    <w:bookmarkStart w:id="52" w:name="fase-2-validação"/>
    <w:p>
      <w:pPr>
        <w:pStyle w:val="Heading2"/>
      </w:pPr>
      <w:r>
        <w:t xml:space="preserve">Fase 2 — Validação</w:t>
      </w:r>
    </w:p>
    <w:p>
      <w:pPr>
        <w:numPr>
          <w:ilvl w:val="0"/>
          <w:numId w:val="1016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16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16"/>
        </w:numPr>
        <w:pStyle w:val="Compact"/>
      </w:pPr>
      <w:r>
        <w:t xml:space="preserve">Revisar enigmas com especialista em HGA / educação.</w:t>
      </w:r>
    </w:p>
    <w:p>
      <w:pPr>
        <w:numPr>
          <w:ilvl w:val="0"/>
          <w:numId w:val="1016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16"/>
        </w:numPr>
        <w:pStyle w:val="Compact"/>
      </w:pPr>
      <w:r>
        <w:t xml:space="preserve">Auditoria de acessibilidade (contraste, foco, leitor de tela).</w:t>
      </w:r>
    </w:p>
    <w:bookmarkEnd w:id="52"/>
    <w:bookmarkStart w:id="53" w:name="fase-3-expansão-de-conteúdo"/>
    <w:p>
      <w:pPr>
        <w:pStyle w:val="Heading2"/>
      </w:pPr>
      <w:r>
        <w:t xml:space="preserve">Fase 3 — Expansão de conteúdo</w:t>
      </w:r>
    </w:p>
    <w:p>
      <w:pPr>
        <w:numPr>
          <w:ilvl w:val="0"/>
          <w:numId w:val="1017"/>
        </w:numPr>
        <w:pStyle w:val="Compact"/>
      </w:pPr>
      <w:r>
        <w:t xml:space="preserve">Completar Mundo 1 com mais 10 enigmas (total 15).</w:t>
      </w:r>
    </w:p>
    <w:p>
      <w:pPr>
        <w:numPr>
          <w:ilvl w:val="0"/>
          <w:numId w:val="1017"/>
        </w:numPr>
        <w:pStyle w:val="Compact"/>
      </w:pPr>
      <w:r>
        <w:t xml:space="preserve">Iniciar Mundo 2 (Reinos do Nilo, Volume II): 8 enigmas piloto.</w:t>
      </w:r>
    </w:p>
    <w:p>
      <w:pPr>
        <w:numPr>
          <w:ilvl w:val="0"/>
          <w:numId w:val="1017"/>
        </w:numPr>
        <w:pStyle w:val="Compact"/>
      </w:pPr>
      <w:r>
        <w:t xml:space="preserve">Refinar paleta sonora por mundo (instrumentos regionais distintos).</w:t>
      </w:r>
    </w:p>
    <w:p>
      <w:pPr>
        <w:numPr>
          <w:ilvl w:val="0"/>
          <w:numId w:val="1017"/>
        </w:numPr>
        <w:pStyle w:val="Compact"/>
      </w:pPr>
      <w:r>
        <w:t xml:space="preserve">Separar dados em JSON puro (atualmente JS) para abrir contribuição externa.</w:t>
      </w:r>
    </w:p>
    <w:bookmarkEnd w:id="53"/>
    <w:bookmarkStart w:id="54" w:name="fase-4-produto-aberto"/>
    <w:p>
      <w:pPr>
        <w:pStyle w:val="Heading2"/>
      </w:pPr>
      <w:r>
        <w:t xml:space="preserve">Fase 4 — Produto aberto</w:t>
      </w:r>
    </w:p>
    <w:p>
      <w:pPr>
        <w:numPr>
          <w:ilvl w:val="0"/>
          <w:numId w:val="1018"/>
        </w:numPr>
        <w:pStyle w:val="Compact"/>
      </w:pPr>
      <w:r>
        <w:t xml:space="preserve">README público com guia de contribuição.</w:t>
      </w:r>
    </w:p>
    <w:p>
      <w:pPr>
        <w:numPr>
          <w:ilvl w:val="0"/>
          <w:numId w:val="1018"/>
        </w:numPr>
        <w:pStyle w:val="Compact"/>
      </w:pPr>
      <w:r>
        <w:t xml:space="preserve">Licenças aplicadas: MIT (código), CC BY-SA 4.0 (conteúdo).</w:t>
      </w:r>
    </w:p>
    <w:p>
      <w:pPr>
        <w:numPr>
          <w:ilvl w:val="0"/>
          <w:numId w:val="1018"/>
        </w:numPr>
        <w:pStyle w:val="Compact"/>
      </w:pPr>
      <w:r>
        <w:t xml:space="preserve">Guia rápido para professores (</w:t>
      </w:r>
      <w:r>
        <w:rPr>
          <w:rStyle w:val="VerbatimChar"/>
        </w:rPr>
        <w:t xml:space="preserve">docs/PROFESSORES.md</w:t>
      </w:r>
      <w:r>
        <w:t xml:space="preserve">).</w:t>
      </w:r>
    </w:p>
    <w:p>
      <w:pPr>
        <w:numPr>
          <w:ilvl w:val="0"/>
          <w:numId w:val="1018"/>
        </w:numPr>
        <w:pStyle w:val="Compact"/>
      </w:pPr>
      <w:r>
        <w:t xml:space="preserve">Publicar versão online (GitHub Pages / Vercel).</w:t>
      </w:r>
    </w:p>
    <w:p>
      <w:pPr>
        <w:numPr>
          <w:ilvl w:val="0"/>
          <w:numId w:val="1018"/>
        </w:numPr>
        <w:pStyle w:val="Compact"/>
      </w:pPr>
      <w:r>
        <w:t xml:space="preserve">Exportador de progresso (compartilhar mosaicos).</w:t>
      </w:r>
    </w:p>
    <w:bookmarkEnd w:id="54"/>
    <w:bookmarkStart w:id="55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19"/>
        </w:numPr>
        <w:pStyle w:val="Compact"/>
      </w:pPr>
      <w:r>
        <w:t xml:space="preserve">Sem backend, login ou ranking global no MVP.</w:t>
      </w:r>
    </w:p>
    <w:p>
      <w:pPr>
        <w:numPr>
          <w:ilvl w:val="0"/>
          <w:numId w:val="1019"/>
        </w:numPr>
        <w:pStyle w:val="Compact"/>
      </w:pPr>
      <w:r>
        <w:t xml:space="preserve">Sem amostras de áudio externas: tudo sintetizado para manter peso e licença abertos.</w:t>
      </w:r>
    </w:p>
    <w:p>
      <w:pPr>
        <w:numPr>
          <w:ilvl w:val="0"/>
          <w:numId w:val="1019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19"/>
        </w:numPr>
        <w:pStyle w:val="Compact"/>
      </w:pPr>
      <w:r>
        <w:t xml:space="preserve">Conteúdo em PT-BR, com tolerância a variantes lusófonas (PT-PT no protótipo).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4. Motor de Áudio</w:t>
      </w:r>
    </w:p>
    <w:bookmarkEnd w:id="55"/>
    <w:bookmarkStart w:id="56" w:name="áudio-motor-de-instrumentos-africanos"/>
    <w:p>
      <w:pPr>
        <w:pStyle w:val="Heading2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End w:id="56"/>
    <w:bookmarkStart w:id="57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57"/>
    <w:bookmarkStart w:id="58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58"/>
    <w:bookmarkStart w:id="59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59"/>
    <w:bookmarkStart w:id="60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60"/>
    <w:bookmarkStart w:id="61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21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21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21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21"/>
        </w:numPr>
        <w:pStyle w:val="Compact"/>
      </w:pPr>
      <w:r>
        <w:t xml:space="preserve">Em telas de leitura longa (resultado, contexto) evite disparar mais de 1 evento.</w:t>
      </w:r>
    </w:p>
    <w:bookmarkEnd w:id="61"/>
    <w:bookmarkStart w:id="62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22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22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22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5. Liga dos Griôs</w:t>
      </w:r>
    </w:p>
    <w:bookmarkEnd w:id="62"/>
    <w:bookmarkStart w:id="63" w:name="liga-dos-griôs-setup"/>
    <w:p>
      <w:pPr>
        <w:pStyle w:val="Heading2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End w:id="63"/>
    <w:bookmarkStart w:id="64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bookmarkEnd w:id="64"/>
    <w:bookmarkStart w:id="65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Antes do</w:t>
      </w:r>
      <w:r>
        <w:t xml:space="preserve"> </w:t>
      </w:r>
      <w:r>
        <w:rPr>
          <w:rStyle w:val="VerbatimChar"/>
        </w:rPr>
        <w:t xml:space="preserve">&lt;script src="src/league.js"&gt;</w:t>
      </w:r>
      <w:r>
        <w:t xml:space="preserve">, 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Sem config = liga global escondida automaticamente.</w:t>
      </w:r>
    </w:p>
    <w:bookmarkEnd w:id="65"/>
    <w:bookmarkStart w:id="66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66"/>
    <w:bookmarkStart w:id="67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67"/>
    <w:bookmarkStart w:id="68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23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do jogador truncado a 20 chars),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23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bookmarkEnd w:id="68"/>
    <w:bookmarkStart w:id="69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6. Estratégias de Monetização</w:t>
      </w:r>
    </w:p>
    <w:bookmarkEnd w:id="69"/>
    <w:bookmarkStart w:id="70" w:name="estratégias-de-monetização-sankofa"/>
    <w:p>
      <w:pPr>
        <w:pStyle w:val="Heading2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End w:id="70"/>
    <w:bookmarkStart w:id="71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7" w:name="estratégia-nacional-brasil"/>
    <w:p>
      <w:pPr>
        <w:pStyle w:val="Heading2"/>
      </w:pPr>
      <w:r>
        <w:t xml:space="preserve">2. Estratégia nacional (Brasil)</w:t>
      </w:r>
    </w:p>
    <w:bookmarkStart w:id="72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72"/>
    <w:bookmarkStart w:id="73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73"/>
    <w:bookmarkStart w:id="74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74"/>
    <w:bookmarkStart w:id="75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75"/>
    <w:bookmarkStart w:id="76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estratégia-internacional"/>
    <w:p>
      <w:pPr>
        <w:pStyle w:val="Heading2"/>
      </w:pPr>
      <w:r>
        <w:t xml:space="preserve">3. Estratégia internacional</w:t>
      </w:r>
    </w:p>
    <w:bookmarkStart w:id="78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78"/>
    <w:bookmarkStart w:id="79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79"/>
    <w:bookmarkStart w:id="80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80"/>
    <w:bookmarkStart w:id="81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81"/>
    <w:bookmarkStart w:id="82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82"/>
    <w:bookmarkStart w:id="83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83"/>
    <w:bookmarkStart w:id="84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86"/>
    <w:bookmarkStart w:id="87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87"/>
    <w:bookmarkStart w:id="88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88"/>
    <w:bookmarkStart w:id="89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89"/>
    <w:bookmarkStart w:id="90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90"/>
    <w:bookmarkStart w:id="91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Start w:id="92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92"/>
    <w:bookmarkStart w:id="93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93"/>
    <w:bookmarkStart w:id="94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27"/>
        </w:numPr>
        <w:pStyle w:val="Compact"/>
      </w:pPr>
      <w:r>
        <w:t xml:space="preserve">DAU / MAU</w:t>
      </w:r>
    </w:p>
    <w:p>
      <w:pPr>
        <w:numPr>
          <w:ilvl w:val="0"/>
          <w:numId w:val="1027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27"/>
        </w:numPr>
        <w:pStyle w:val="Compact"/>
      </w:pPr>
      <w:r>
        <w:t xml:space="preserve">Tempo médio por enigma</w:t>
      </w:r>
    </w:p>
    <w:p>
      <w:pPr>
        <w:numPr>
          <w:ilvl w:val="0"/>
          <w:numId w:val="1027"/>
        </w:numPr>
        <w:pStyle w:val="Compact"/>
      </w:pPr>
      <w:r>
        <w:t xml:space="preserve">NPS pedagógico (professor)</w:t>
      </w:r>
    </w:p>
    <w:p>
      <w:pPr>
        <w:numPr>
          <w:ilvl w:val="0"/>
          <w:numId w:val="1027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27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27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27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27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27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94"/>
    <w:bookmarkStart w:id="95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96"/>
    <w:bookmarkStart w:id="97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7. Pitch Deck</w:t>
      </w:r>
    </w:p>
    <w:bookmarkEnd w:id="97"/>
    <w:bookmarkStart w:id="98" w:name="pitch-deck-sankofa"/>
    <w:p>
      <w:pPr>
        <w:pStyle w:val="Heading2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End w:id="98"/>
    <w:bookmarkStart w:id="99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— UNILAB / Ciências Humanas + Ciências da Computação</w:t>
      </w:r>
      <w:r>
        <w:t xml:space="preserve"> </w:t>
      </w:r>
      <w:r>
        <w:t xml:space="preserve">- nhadafilipe@gmail.com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99"/>
    <w:bookmarkStart w:id="100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30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100"/>
    <w:bookmarkStart w:id="101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31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31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31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31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31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101"/>
    <w:bookmarkStart w:id="102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32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32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32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32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32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32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32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102"/>
    <w:bookmarkStart w:id="103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— formação dupla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Computação</w:t>
      </w:r>
      <w:r>
        <w:t xml:space="preserve">. UNILAB é a Universidade da Integração Internacional da Lusofonia Afro-Brasileira. Esse cruzamento é raríssimo.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103"/>
    <w:bookmarkStart w:id="104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104"/>
    <w:bookmarkStart w:id="105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3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23 enigmas</w:t>
      </w:r>
      <w:r>
        <w:t xml:space="preserve"> </w:t>
      </w:r>
      <w:r>
        <w:t xml:space="preserve">validados na HGA (Vols I e II completos)</w:t>
      </w:r>
    </w:p>
    <w:p>
      <w:pPr>
        <w:numPr>
          <w:ilvl w:val="0"/>
          <w:numId w:val="1033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33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33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33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33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33"/>
        </w:numPr>
        <w:pStyle w:val="Compact"/>
      </w:pPr>
      <w:r>
        <w:t xml:space="preserve">✅ Acessibilidade WCAG AA</w:t>
      </w:r>
    </w:p>
    <w:p>
      <w:pPr>
        <w:numPr>
          <w:ilvl w:val="0"/>
          <w:numId w:val="1033"/>
        </w:numPr>
        <w:pStyle w:val="Compact"/>
      </w:pPr>
      <w:r>
        <w:t xml:space="preserve">✅ PWA — funciona offline</w:t>
      </w:r>
    </w:p>
    <w:p>
      <w:pPr>
        <w:numPr>
          <w:ilvl w:val="0"/>
          <w:numId w:val="1033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105"/>
    <w:bookmarkStart w:id="106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106"/>
    <w:bookmarkStart w:id="107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107"/>
    <w:bookmarkStart w:id="108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34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34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34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34"/>
        </w:numPr>
        <w:pStyle w:val="Compact"/>
      </w:pPr>
      <w:r>
        <w:t xml:space="preserve">Eu (Filipe)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Ciências Humanas UNILAB + Computação + sou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nhadafilipe@gmail.com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108"/>
    <w:bookmarkStart w:id="109" w:name="english-version-slides-1-10-condensed"/>
    <w:p>
      <w:pPr>
        <w:pStyle w:val="Heading2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nhadafilipe@gmail.com.</w:t>
      </w:r>
    </w:p>
    <w:p>
      <w:r>
        <w:pict>
          <v:rect style="width:0;height:1.5pt" o:hralign="center" o:hrstd="t" o:hr="t"/>
        </w:pict>
      </w:r>
    </w:p>
    <w:bookmarkEnd w:id="109"/>
    <w:bookmarkStart w:id="110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110"/>
    <w:bookmarkStart w:id="111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36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36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36"/>
        </w:numPr>
        <w:pStyle w:val="Compact"/>
      </w:pPr>
      <w:r>
        <w:t xml:space="preserve">Exporta PDF + PPTX</w:t>
      </w:r>
    </w:p>
    <w:p>
      <w:pPr>
        <w:numPr>
          <w:ilvl w:val="0"/>
          <w:numId w:val="1036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36"/>
        </w:numPr>
        <w:pStyle w:val="Compact"/>
      </w:pPr>
      <w:r>
        <w:t xml:space="preserve">Versão completa (com ask): para reuniões fechadas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8. Cartas-modelo</w:t>
      </w:r>
    </w:p>
    <w:bookmarkEnd w:id="111"/>
    <w:bookmarkStart w:id="112" w:name="cartas-modelo-sankofa"/>
    <w:p>
      <w:pPr>
        <w:pStyle w:val="Heading2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End w:id="112"/>
    <w:bookmarkStart w:id="115" w:name="carta-para-patrocínio-esg-corporativo"/>
    <w:p>
      <w:pPr>
        <w:pStyle w:val="Heading2"/>
      </w:pPr>
      <w:r>
        <w:t xml:space="preserve">1. Carta para PATROCÍNIO ESG (corporativo)</w:t>
      </w:r>
    </w:p>
    <w:bookmarkStart w:id="113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nhadafilipe@gmail.com · +55 [DDD número]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113"/>
    <w:bookmarkStart w:id="114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Volumes I e II — origens da humanidade no</w:t>
      </w:r>
      <w:r>
        <w:br/>
      </w:r>
      <w:r>
        <w:rPr>
          <w:rStyle w:val="VerbatimChar"/>
        </w:rPr>
        <w:t xml:space="preserve">continente africano, civilizações do Vale do Nilo, expansão Bantu e</w:t>
      </w:r>
      <w:r>
        <w:br/>
      </w:r>
      <w:r>
        <w:rPr>
          <w:rStyle w:val="VerbatimChar"/>
        </w:rPr>
        <w:t xml:space="preserve">fundamentos linguísticos. O roadmap prevê a totalidade dos 8 mundos até</w:t>
      </w:r>
      <w:r>
        <w:br/>
      </w:r>
      <w:r>
        <w:rPr>
          <w:rStyle w:val="VerbatimChar"/>
        </w:rPr>
        <w:t xml:space="preserve">2027.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nhadafilipe@gmail.com</w:t>
      </w:r>
      <w:r>
        <w:br/>
      </w:r>
      <w:r>
        <w:rPr>
          <w:rStyle w:val="VerbatimChar"/>
        </w:rPr>
        <w:t xml:space="preserve">+55 [DDD número]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116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nhadafilipe@gmail.com</w:t>
      </w:r>
    </w:p>
    <w:p>
      <w:r>
        <w:pict>
          <v:rect style="width:0;height:1.5pt" o:hralign="center" o:hrstd="t" o:hr="t"/>
        </w:pict>
      </w:r>
    </w:p>
    <w:bookmarkEnd w:id="116"/>
    <w:bookmarkStart w:id="117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nhadafilipe@gmail.com / +55 [DDD número]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Volumes I e II com 23</w:t>
      </w:r>
      <w:r>
        <w:br/>
      </w:r>
      <w:r>
        <w:rPr>
          <w:rStyle w:val="VerbatimChar"/>
        </w:rPr>
        <w:t xml:space="preserve">   enigmas validados.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 e II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1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119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nhadafilipe@gmail.com</w:t>
      </w:r>
    </w:p>
    <w:p>
      <w:r>
        <w:pict>
          <v:rect style="width:0;height:1.5pt" o:hralign="center" o:hrstd="t" o:hr="t"/>
        </w:pict>
      </w:r>
    </w:p>
    <w:bookmarkEnd w:id="119"/>
    <w:bookmarkStart w:id="120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nhadafilipe@gmail.com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3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122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nhadafilipe@gmail.com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nhadafilipe@gmail.com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23 enigmas validados (Volumes I e II); este edital</w:t>
      </w:r>
      <w:r>
        <w:br/>
      </w:r>
      <w:r>
        <w:rPr>
          <w:rStyle w:val="VerbatimChar"/>
        </w:rPr>
        <w:t xml:space="preserve">   sustenta produção dos Volumes III e IV (Impérios do Sahel + Costas</w:t>
      </w:r>
      <w:r>
        <w:br/>
      </w:r>
      <w:r>
        <w:rPr>
          <w:rStyle w:val="VerbatimChar"/>
        </w:rPr>
        <w:t xml:space="preserve">   e Rotas).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124"/>
    <w:bookmarkStart w:id="125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125"/>
    <w:bookmarkStart w:id="126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126"/>
    <w:bookmarkStart w:id="127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37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27"/>
    <w:bookmarkStart w:id="128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128"/>
    <w:bookmarkStart w:id="129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9. One-Pager</w:t>
      </w:r>
    </w:p>
    <w:bookmarkEnd w:id="129"/>
    <w:bookmarkStart w:id="130" w:name="one-pager-sankofa"/>
    <w:p>
      <w:pPr>
        <w:pStyle w:val="Heading2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End w:id="130"/>
    <w:bookmarkStart w:id="138" w:name="frente-para-quem-nunca-ouviu-falar"/>
    <w:p>
      <w:pPr>
        <w:pStyle w:val="Heading2"/>
      </w:pPr>
      <w:r>
        <w:t xml:space="preserve">FRENTE — Para quem nunca ouviu falar</w:t>
      </w:r>
    </w:p>
    <w:bookmarkStart w:id="137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131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131"/>
    <w:bookmarkStart w:id="132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39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39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39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39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39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39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132"/>
    <w:bookmarkStart w:id="133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133"/>
    <w:bookmarkStart w:id="134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134"/>
    <w:bookmarkStart w:id="135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nhadafilipe@gmail.com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135"/>
    <w:bookmarkStart w:id="136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End w:id="138"/>
    <w:bookmarkStart w:id="147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145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139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139"/>
    <w:bookmarkStart w:id="140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140"/>
    <w:bookmarkStart w:id="141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Start w:id="142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142"/>
    <w:bookmarkStart w:id="143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[DDD número]</w:t>
      </w:r>
      <w:r>
        <w:t xml:space="preserve"> </w:t>
      </w:r>
      <w:r>
        <w:t xml:space="preserve">📧 nhadafilipe@gmail.com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143"/>
    <w:bookmarkStart w:id="144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40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40"/>
        </w:numPr>
        <w:pStyle w:val="Compact"/>
      </w:pPr>
      <w:r>
        <w:t xml:space="preserve">Imprime nos dois lados</w:t>
      </w:r>
    </w:p>
    <w:p>
      <w:pPr>
        <w:numPr>
          <w:ilvl w:val="0"/>
          <w:numId w:val="1040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9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148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148"/>
    <w:bookmarkEnd w:id="149"/>
    <w:bookmarkEnd w:id="1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unesdoc.unesco.org/ark:/48223/pf0000190249" TargetMode="External" /><Relationship Type="http://schemas.openxmlformats.org/officeDocument/2006/relationships/hyperlink" Id="rId32" Target="https://unesdoc.unesco.org/ark:/48223/pf0000190250" TargetMode="External" /><Relationship Type="http://schemas.openxmlformats.org/officeDocument/2006/relationships/hyperlink" Id="rId33" Target="https://unesdoc.unesco.org/ark:/48223/pf0000190251" TargetMode="External" /><Relationship Type="http://schemas.openxmlformats.org/officeDocument/2006/relationships/hyperlink" Id="rId34" Target="https://unesdoc.unesco.org/ark:/48223/pf0000190252" TargetMode="External" /><Relationship Type="http://schemas.openxmlformats.org/officeDocument/2006/relationships/hyperlink" Id="rId35" Target="https://unesdoc.unesco.org/ark:/48223/pf0000190253" TargetMode="External" /><Relationship Type="http://schemas.openxmlformats.org/officeDocument/2006/relationships/hyperlink" Id="rId36" Target="https://unesdoc.unesco.org/ark:/48223/pf0000190254" TargetMode="External" /><Relationship Type="http://schemas.openxmlformats.org/officeDocument/2006/relationships/hyperlink" Id="rId37" Target="https://unesdoc.unesco.org/ark:/48223/pf0000190255" TargetMode="External" /><Relationship Type="http://schemas.openxmlformats.org/officeDocument/2006/relationships/hyperlink" Id="rId38" Target="https://unesdoc.unesco.org/ark:/48223/pf000019025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unesdoc.unesco.org/ark:/48223/pf0000190249" TargetMode="External" /><Relationship Type="http://schemas.openxmlformats.org/officeDocument/2006/relationships/hyperlink" Id="rId32" Target="https://unesdoc.unesco.org/ark:/48223/pf0000190250" TargetMode="External" /><Relationship Type="http://schemas.openxmlformats.org/officeDocument/2006/relationships/hyperlink" Id="rId33" Target="https://unesdoc.unesco.org/ark:/48223/pf0000190251" TargetMode="External" /><Relationship Type="http://schemas.openxmlformats.org/officeDocument/2006/relationships/hyperlink" Id="rId34" Target="https://unesdoc.unesco.org/ark:/48223/pf0000190252" TargetMode="External" /><Relationship Type="http://schemas.openxmlformats.org/officeDocument/2006/relationships/hyperlink" Id="rId35" Target="https://unesdoc.unesco.org/ark:/48223/pf0000190253" TargetMode="External" /><Relationship Type="http://schemas.openxmlformats.org/officeDocument/2006/relationships/hyperlink" Id="rId36" Target="https://unesdoc.unesco.org/ark:/48223/pf0000190254" TargetMode="External" /><Relationship Type="http://schemas.openxmlformats.org/officeDocument/2006/relationships/hyperlink" Id="rId37" Target="https://unesdoc.unesco.org/ark:/48223/pf0000190255" TargetMode="External" /><Relationship Type="http://schemas.openxmlformats.org/officeDocument/2006/relationships/hyperlink" Id="rId38" Target="https://unesdoc.unesco.org/ark:/48223/pf000019025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Sankofa — Documentação Completa</dc:title>
  <dc:creator>Filipe Buba</dc:creator>
  <dc:language>pt-BR</dc:language>
  <cp:keywords/>
  <dcterms:created xsi:type="dcterms:W3CDTF">2026-05-06T21:08:12Z</dcterms:created>
  <dcterms:modified xsi:type="dcterms:W3CDTF">2026-05-06T21:08:12Z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1.0</vt:lpwstr>
  </property>
  <property fmtid="{D5CDD505-2E9C-101B-9397-08002B2CF9AE}" pid="3" name="subtitle">
    <vt:lpwstr>Fragmentos da África · Jogo educativo de enigmas sobre a HGA UNESCO</vt:lpwstr>
  </property>
</Properties>
</file>